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60" w:after="260"/>
        <w:jc w:val="center"/>
        <w:rPr/>
      </w:pPr>
      <w:r>
        <w:rPr/>
        <w:t>物资设备部部门职责</w:t>
      </w:r>
    </w:p>
    <w:tbl>
      <w:tblPr>
        <w:tblW w:w="9684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682"/>
        <w:gridCol w:w="3758"/>
        <w:gridCol w:w="1207"/>
        <w:gridCol w:w="3037"/>
      </w:tblGrid>
      <w:tr>
        <w:trPr>
          <w:trHeight w:val="23" w:hRule="atLeast"/>
          <w:cantSplit w:val="true"/>
        </w:trPr>
        <w:tc>
          <w:tcPr>
            <w:tcW w:w="168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  <w:bCs/>
              </w:rPr>
              <w:t>公司行业</w:t>
            </w:r>
          </w:p>
        </w:tc>
        <w:tc>
          <w:tcPr>
            <w:tcW w:w="375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color w:val="808080"/>
              </w:rPr>
            </w:pPr>
            <w:r>
              <w:rPr>
                <w:rFonts w:ascii="SimHei" w:hAnsi="SimHei" w:eastAsia="黑体" w:cs="SimHei"/>
                <w:color w:val="808080"/>
              </w:rPr>
              <w:t>建筑行业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公司规模</w:t>
            </w:r>
          </w:p>
        </w:tc>
        <w:tc>
          <w:tcPr>
            <w:tcW w:w="303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315"/>
              <w:jc w:val="start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color w:val="808080"/>
              </w:rPr>
              <w:t>2000</w:t>
            </w:r>
            <w:r>
              <w:rPr>
                <w:rFonts w:ascii="SimHei" w:hAnsi="SimHei" w:eastAsia="黑体" w:cs="SimHei"/>
                <w:color w:val="808080"/>
              </w:rPr>
              <w:t>人</w:t>
            </w:r>
          </w:p>
        </w:tc>
      </w:tr>
      <w:tr>
        <w:trPr>
          <w:trHeight w:val="23" w:hRule="atLeast"/>
          <w:cantSplit w:val="true"/>
        </w:trPr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公司地区</w:t>
            </w:r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808080"/>
              </w:rPr>
              <w:t>广州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部门人数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315"/>
              <w:jc w:val="star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808080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84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650"/>
        <w:gridCol w:w="3790"/>
        <w:gridCol w:w="1207"/>
        <w:gridCol w:w="3037"/>
      </w:tblGrid>
      <w:tr>
        <w:trPr>
          <w:trHeight w:val="23" w:hRule="atLeast"/>
          <w:cantSplit w:val="true"/>
        </w:trPr>
        <w:tc>
          <w:tcPr>
            <w:tcW w:w="165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部门名称</w:t>
            </w:r>
          </w:p>
        </w:tc>
        <w:tc>
          <w:tcPr>
            <w:tcW w:w="37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物资设备部</w:t>
            </w:r>
          </w:p>
        </w:tc>
        <w:tc>
          <w:tcPr>
            <w:tcW w:w="1207" w:type="dxa"/>
            <w:tcBorders>
              <w:top w:val="single" w:sz="12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  <w:szCs w:val="21"/>
              </w:rPr>
              <w:t>部门属性</w:t>
            </w:r>
          </w:p>
        </w:tc>
        <w:tc>
          <w:tcPr>
            <w:tcW w:w="3037" w:type="dxa"/>
            <w:tcBorders>
              <w:top w:val="single" w:sz="12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rPr>
                <w:rFonts w:ascii="SimHei" w:hAnsi="SimHei" w:eastAsia="黑体" w:cs="SimHei"/>
                <w:b/>
                <w:b/>
                <w:sz w:val="21"/>
                <w:szCs w:val="24"/>
              </w:rPr>
            </w:pPr>
            <w:r>
              <w:rPr>
                <w:rFonts w:ascii="SimHei" w:hAnsi="SimHei" w:eastAsia="黑体" w:cs="SimHei"/>
                <w:b/>
                <w:sz w:val="21"/>
                <w:szCs w:val="24"/>
              </w:rPr>
              <w:t xml:space="preserve"> </w:t>
            </w:r>
          </w:p>
        </w:tc>
      </w:tr>
      <w:tr>
        <w:trPr>
          <w:trHeight w:val="580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部门本职</w:t>
            </w:r>
          </w:p>
        </w:tc>
      </w:tr>
      <w:tr>
        <w:trPr>
          <w:trHeight w:val="896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Default"/>
              <w:jc w:val="both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建立公司物资、设备管理体系</w:t>
            </w:r>
          </w:p>
        </w:tc>
      </w:tr>
      <w:tr>
        <w:trPr>
          <w:trHeight w:val="548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bCs/>
                <w:lang w:val="en-US" w:eastAsia="en-US"/>
              </w:rPr>
              <w:t>主要职能</w:t>
            </w:r>
          </w:p>
        </w:tc>
      </w:tr>
      <w:tr>
        <w:trPr>
          <w:trHeight w:val="905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Default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负责公司材料、设备的采购，自有设备的租赁，材料、设备的调拨，资料收集、整理并及时填报各种统计报表工作；</w:t>
            </w:r>
          </w:p>
          <w:p>
            <w:pPr>
              <w:pStyle w:val="Default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负责组织对工程材料、设备供方的考察、评估，定期编制《合格材料供方名录》及《合格设备供方名录》；</w:t>
            </w:r>
          </w:p>
          <w:p>
            <w:pPr>
              <w:pStyle w:val="Default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负责组织对工程材料、设备供方的考察、评估，定期编制《合格材料供方名录》及《合格设备供方名录》；</w:t>
            </w:r>
          </w:p>
          <w:p>
            <w:pPr>
              <w:pStyle w:val="Default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负责公司材料、设备的招标和定标工作；</w:t>
            </w:r>
          </w:p>
          <w:p>
            <w:pPr>
              <w:pStyle w:val="Default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负责公司材料、设备合同的拟定、合同会签及合同签订工作。</w:t>
            </w:r>
          </w:p>
        </w:tc>
      </w:tr>
      <w:tr>
        <w:trPr>
          <w:trHeight w:val="585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bCs/>
                <w:lang w:val="en-US" w:eastAsia="en-US"/>
              </w:rPr>
              <w:t>管辖范围</w:t>
            </w:r>
          </w:p>
        </w:tc>
      </w:tr>
      <w:tr>
        <w:trPr>
          <w:trHeight w:val="870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spacing w:lineRule="exact" w:line="260"/>
              <w:jc w:val="start"/>
              <w:rPr>
                <w:rFonts w:ascii="SimHei" w:hAnsi="SimHei" w:eastAsia="黑体" w:cs="SimHei"/>
                <w:szCs w:val="21"/>
                <w:lang w:val="en-US" w:eastAsia="en-US"/>
              </w:rPr>
            </w:pPr>
            <w:r>
              <w:rPr>
                <w:rFonts w:ascii="SimHei" w:hAnsi="SimHei" w:eastAsia="黑体" w:cs="SimHei"/>
                <w:szCs w:val="21"/>
                <w:lang w:val="en-US" w:eastAsia="en-US"/>
              </w:rPr>
              <w:t>公司物资设备线条</w:t>
            </w:r>
          </w:p>
        </w:tc>
      </w:tr>
    </w:tbl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</w:r>
    </w:p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</w:r>
    </w:p>
    <w:p>
      <w:pPr>
        <w:pStyle w:val="Normal"/>
        <w:ind w:start="-707" w:hanging="1"/>
        <w:rPr>
          <w:rFonts w:ascii="SimHei" w:hAnsi="SimHei" w:eastAsia="黑体" w:cs="SimHei"/>
          <w:b/>
          <w:b/>
          <w:bCs/>
          <w:color w:val="FF0000"/>
        </w:rPr>
      </w:pPr>
      <w:r>
        <w:rPr>
          <w:rFonts w:ascii="SimHei" w:hAnsi="SimHei" w:eastAsia="黑体" w:cs="SimHei"/>
          <w:b/>
          <w:bCs/>
          <w:color w:val="FF0000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仿宋_GB2312">
    <w:altName w:val="·..."/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2" w:before="260" w:after="260"/>
      <w:outlineLvl w:val="1"/>
    </w:pPr>
    <w:rPr>
      <w:rFonts w:ascii="SimHei" w:hAnsi="SimHei" w:eastAsia="黑体" w:cs="SimHei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20" w:after="120"/>
      <w:jc w:val="center"/>
      <w:outlineLvl w:val="2"/>
    </w:pPr>
    <w:rPr>
      <w:bCs/>
      <w:sz w:val="28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4" w:before="280" w:after="290"/>
      <w:outlineLvl w:val="3"/>
    </w:pPr>
    <w:rPr>
      <w:rFonts w:ascii="SimHei" w:hAnsi="SimHei" w:eastAsia="黑体" w:cs="SimHe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74" w:before="280" w:after="29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319" w:before="240" w:after="64"/>
      <w:outlineLvl w:val="5"/>
    </w:pPr>
    <w:rPr>
      <w:rFonts w:ascii="SimHei" w:hAnsi="SimHei" w:eastAsia="黑体" w:cs="SimHei"/>
      <w:b/>
      <w:bCs/>
      <w:sz w:val="2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319" w:before="240" w:after="64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319" w:before="240" w:after="64"/>
      <w:outlineLvl w:val="7"/>
    </w:pPr>
    <w:rPr>
      <w:rFonts w:ascii="SimHei" w:hAnsi="SimHei" w:eastAsia="黑体" w:cs="SimHei"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319" w:before="240" w:after="64"/>
      <w:outlineLvl w:val="8"/>
    </w:pPr>
    <w:rPr>
      <w:rFonts w:ascii="SimHei" w:hAnsi="SimHei" w:eastAsia="黑体" w:cs="SimHei"/>
      <w:szCs w:val="21"/>
    </w:rPr>
  </w:style>
  <w:style w:type="character" w:styleId="WW8Num1z0">
    <w:name w:val="WW8Num1z0"/>
    <w:qFormat/>
    <w:rPr/>
  </w:style>
  <w:style w:type="character" w:styleId="WW8Num1z2">
    <w:name w:val="WW8Num1z2"/>
    <w:qFormat/>
    <w:rPr>
      <w:b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imHei" w:hAnsi="SimHei" w:eastAsia="黑体" w:cs="SimHei"/>
    </w:rPr>
  </w:style>
  <w:style w:type="character" w:styleId="WW8Num4z0">
    <w:name w:val="WW8Num4z0"/>
    <w:qFormat/>
    <w:rPr>
      <w:rFonts w:ascii="SimHei" w:hAnsi="SimHei" w:eastAsia="黑体" w:cs="SimHei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SimHei" w:hAnsi="SimHei" w:eastAsia="黑体" w:cs="SimHei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imHei" w:hAnsi="SimHei" w:eastAsia="黑体" w:cs="SimHei"/>
    </w:rPr>
  </w:style>
  <w:style w:type="character" w:styleId="WW8Num9z0">
    <w:name w:val="WW8Num9z0"/>
    <w:qFormat/>
    <w:rPr>
      <w:rFonts w:ascii="SimHei" w:hAnsi="SimHei" w:eastAsia="黑体" w:cs="SimHei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>
      <w:b/>
    </w:rPr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imHei" w:hAnsi="SimHei" w:eastAsia="黑体" w:cs="SimHei"/>
    </w:rPr>
  </w:style>
  <w:style w:type="character" w:styleId="WW8Num12z0">
    <w:name w:val="WW8Num12z0"/>
    <w:qFormat/>
    <w:rPr>
      <w:rFonts w:ascii="SimHei" w:hAnsi="SimHei" w:eastAsia="黑体" w:cs="SimHei"/>
    </w:rPr>
  </w:style>
  <w:style w:type="character" w:styleId="WW8Num13z0">
    <w:name w:val="WW8Num13z0"/>
    <w:qFormat/>
    <w:rPr>
      <w:rFonts w:ascii="SimHei" w:hAnsi="SimHei" w:eastAsia="黑体" w:cs="SimHei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Style6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TextBodyIndent">
    <w:name w:val="Body Text Indent"/>
    <w:basedOn w:val="Normal"/>
    <w:pPr>
      <w:ind w:firstLine="535"/>
    </w:pPr>
    <w:rPr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7">
    <w:name w:val="文档结构图"/>
    <w:basedOn w:val="Normal"/>
    <w:qFormat/>
    <w:pPr>
      <w:shd w:fill="000080" w:val="clear"/>
    </w:pPr>
    <w:rPr/>
  </w:style>
  <w:style w:type="paragraph" w:styleId="2">
    <w:name w:val="正文文本缩进 2"/>
    <w:basedOn w:val="Normal"/>
    <w:qFormat/>
    <w:pPr>
      <w:snapToGrid w:val="false"/>
      <w:ind w:start="1455" w:hanging="1478"/>
    </w:pPr>
    <w:rPr>
      <w:rFonts w:ascii="SimHei" w:hAnsi="SimHei" w:eastAsia="黑体" w:cs="SimHei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SimHei" w:hAnsi="SimHei" w:eastAsia="黑体" w:cs="SimHei"/>
      <w:color w:val="000000"/>
      <w:sz w:val="24"/>
      <w:szCs w:val="24"/>
      <w:lang w:val="en-US" w:eastAsia="zh-CN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2015-05-04T16:26:00Z</dcterms:created>
  <dc:creator>dxd</dc:creator>
  <dc:description/>
  <cp:keywords> </cp:keywords>
  <dc:language>en-US</dc:language>
  <cp:lastModifiedBy>Client</cp:lastModifiedBy>
  <dcterms:modified xsi:type="dcterms:W3CDTF">2017-01-10T10:57:00Z</dcterms:modified>
  <cp:revision>14</cp:revision>
  <dc:subject/>
  <dc:title>中铝瑞闽岗位说明书撰写说明及注意事项</dc:title>
</cp:coreProperties>
</file>