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kern w:val="0"/>
          <w:sz w:val="40"/>
          <w:szCs w:val="40"/>
        </w:rPr>
      </w:pPr>
      <w:r>
        <w:rPr>
          <w:rFonts w:ascii="SimHei" w:hAnsi="SimHei" w:eastAsia="黑体" w:cs="SimHei"/>
          <w:b/>
          <w:kern w:val="0"/>
          <w:sz w:val="40"/>
          <w:szCs w:val="40"/>
        </w:rPr>
        <w:t>岗位职责说明书</w:t>
      </w:r>
    </w:p>
    <w:p>
      <w:pPr>
        <w:pStyle w:val="Normal"/>
        <w:jc w:val="center"/>
        <w:rPr>
          <w:rFonts w:ascii="SimHei" w:hAnsi="SimHei" w:eastAsia="黑体" w:cs="SimHei"/>
          <w:b/>
          <w:b/>
          <w:kern w:val="0"/>
          <w:sz w:val="28"/>
          <w:szCs w:val="28"/>
        </w:rPr>
      </w:pPr>
      <w:r>
        <w:rPr>
          <w:rFonts w:ascii="SimHei" w:hAnsi="SimHei" w:eastAsia="黑体" w:cs="SimHei"/>
          <w:b/>
          <w:kern w:val="0"/>
          <w:sz w:val="28"/>
          <w:szCs w:val="28"/>
        </w:rPr>
        <w:t>采购专员</w:t>
      </w:r>
    </w:p>
    <w:p>
      <w:pPr>
        <w:pStyle w:val="Normal"/>
        <w:jc w:val="end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 w:val="40"/>
          <w:szCs w:val="21"/>
        </w:rPr>
        <w:t xml:space="preserve">                       </w:t>
      </w:r>
      <w:r>
        <w:rPr>
          <w:rFonts w:ascii="SimHei" w:hAnsi="SimHei" w:eastAsia="黑体" w:cs="SimHei"/>
          <w:b/>
          <w:kern w:val="0"/>
          <w:szCs w:val="21"/>
        </w:rPr>
        <w:t>编号</w:t>
      </w:r>
      <w:r>
        <w:rPr>
          <w:rFonts w:ascii="SimHei" w:hAnsi="SimHei" w:eastAsia="黑体" w:cs="SimHei"/>
          <w:b/>
          <w:kern w:val="0"/>
          <w:szCs w:val="21"/>
        </w:rPr>
        <w:t>[20220517]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0"/>
        <w:gridCol w:w="100"/>
        <w:gridCol w:w="848"/>
        <w:gridCol w:w="80"/>
        <w:gridCol w:w="120"/>
        <w:gridCol w:w="2592"/>
        <w:gridCol w:w="2129"/>
        <w:gridCol w:w="2133"/>
      </w:tblGrid>
      <w:tr>
        <w:trPr>
          <w:trHeight w:val="291" w:hRule="atLeast"/>
        </w:trPr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基本信息</w:t>
            </w:r>
          </w:p>
        </w:tc>
      </w:tr>
      <w:tr>
        <w:trPr>
          <w:trHeight w:val="209" w:hRule="atLeast"/>
        </w:trPr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岗位名称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采购专员 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所属部门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采购部</w:t>
            </w:r>
          </w:p>
        </w:tc>
      </w:tr>
      <w:tr>
        <w:trPr/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职称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采购员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晋升方向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采购工程师</w:t>
            </w:r>
          </w:p>
        </w:tc>
      </w:tr>
      <w:tr>
        <w:trPr/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直属上级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采购部经理</w:t>
            </w:r>
            <w:r>
              <w:rPr>
                <w:rFonts w:ascii="SimHei" w:hAnsi="SimHei" w:eastAsia="黑体" w:cs="SimHei"/>
                <w:kern w:val="0"/>
                <w:sz w:val="24"/>
              </w:rPr>
              <w:t>/</w:t>
            </w:r>
            <w:r>
              <w:rPr>
                <w:rFonts w:ascii="SimHei" w:hAnsi="SimHei" w:eastAsia="黑体" w:cs="SimHei"/>
                <w:kern w:val="0"/>
                <w:sz w:val="24"/>
              </w:rPr>
              <w:t>副经理</w:t>
            </w:r>
          </w:p>
        </w:tc>
      </w:tr>
      <w:tr>
        <w:trPr/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直管下级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 xml:space="preserve">  </w:t>
            </w:r>
            <w:r>
              <w:rPr>
                <w:rFonts w:ascii="SimHei" w:hAnsi="SimHei" w:eastAsia="黑体" w:cs="SimHei"/>
                <w:kern w:val="0"/>
                <w:szCs w:val="21"/>
              </w:rPr>
              <w:t>无</w:t>
            </w:r>
          </w:p>
        </w:tc>
      </w:tr>
      <w:tr>
        <w:trPr/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轮岗方向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公司所有基层岗位</w:t>
            </w:r>
          </w:p>
          <w:p>
            <w:pPr>
              <w:pStyle w:val="Normal"/>
              <w:tabs>
                <w:tab w:val="clear" w:pos="420"/>
                <w:tab w:val="left" w:pos="4580" w:leader="none"/>
              </w:tabs>
              <w:bidi w:val="0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kern w:val="2"/>
                <w:sz w:val="21"/>
                <w:szCs w:val="24"/>
                <w:lang w:eastAsia="zh-CN" w:bidi="ar-SA"/>
              </w:rPr>
              <w:tab/>
            </w:r>
            <w:r>
              <w:rPr>
                <w:rFonts w:ascii="SimHei" w:hAnsi="SimHei" w:eastAsia="黑体" w:cs="SimHei"/>
                <w:b/>
                <w:kern w:val="0"/>
                <w:sz w:val="24"/>
              </w:rPr>
              <w:t>轮岗条件</w:t>
            </w:r>
          </w:p>
        </w:tc>
      </w:tr>
      <w:tr>
        <w:trPr/>
        <w:tc>
          <w:tcPr>
            <w:tcW w:w="16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岗位概述</w:t>
            </w:r>
            <w:r>
              <w:rPr>
                <w:rFonts w:ascii="SimHei" w:hAnsi="SimHei" w:eastAsia="黑体" w:cs="SimHei"/>
                <w:b/>
                <w:kern w:val="0"/>
                <w:sz w:val="24"/>
              </w:rPr>
              <w:t>不能胜任本职岗位工作，按公司要求调换到其他基层岗位工作</w:t>
            </w:r>
          </w:p>
          <w:p>
            <w:pPr>
              <w:pStyle w:val="Normal"/>
              <w:numPr>
                <w:ilvl w:val="0"/>
                <w:numId w:val="1"/>
              </w:numPr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  <w:szCs w:val="21"/>
              </w:rPr>
              <w:t>2</w:t>
            </w:r>
            <w:r>
              <w:rPr>
                <w:rFonts w:ascii="SimHei" w:hAnsi="SimHei" w:eastAsia="黑体" w:cs="SimHei"/>
                <w:b/>
                <w:kern w:val="0"/>
                <w:sz w:val="24"/>
                <w:szCs w:val="21"/>
              </w:rPr>
              <w:t>、本职岗位工作优秀，可申请到本岗位相关联岗位学习。</w:t>
            </w:r>
          </w:p>
        </w:tc>
        <w:tc>
          <w:tcPr>
            <w:tcW w:w="685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" w:firstLine="42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在部门经理的领导下完成公司生产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/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非生产材料的采购工作。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工作关系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内部协调关系</w:t>
            </w:r>
          </w:p>
        </w:tc>
      </w:tr>
      <w:tr>
        <w:trPr/>
        <w:tc>
          <w:tcPr>
            <w:tcW w:w="154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研发部  工程部  生产部  品质部  品保部外部协调关系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供应商</w:t>
            </w:r>
          </w:p>
        </w:tc>
      </w:tr>
      <w:tr>
        <w:trPr/>
        <w:tc>
          <w:tcPr>
            <w:tcW w:w="154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岗位职责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工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作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内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容</w:t>
            </w:r>
          </w:p>
        </w:tc>
      </w:tr>
      <w:tr>
        <w:trPr>
          <w:trHeight w:val="2122" w:hRule="atLeast"/>
        </w:trPr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责任与权限</w:t>
            </w: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材料市场行情的调查</w:t>
            </w:r>
          </w:p>
          <w:p>
            <w:pPr>
              <w:pStyle w:val="Normal"/>
              <w:ind w:start="1" w:firstLine="42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查证进料的品质和数量</w:t>
            </w:r>
          </w:p>
          <w:p>
            <w:pPr>
              <w:pStyle w:val="Normal"/>
              <w:ind w:start="1" w:firstLine="42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进料品质和数量异常的处理</w:t>
            </w:r>
          </w:p>
          <w:p>
            <w:pPr>
              <w:pStyle w:val="Normal"/>
              <w:ind w:start="1" w:firstLine="42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与供应商有关的交期、交量等方面的沟通协调</w:t>
            </w:r>
          </w:p>
          <w:p>
            <w:pPr>
              <w:pStyle w:val="Normal"/>
              <w:ind w:start="1" w:firstLine="42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询价、比价、议价及订购作业</w:t>
            </w:r>
          </w:p>
          <w:p>
            <w:pPr>
              <w:pStyle w:val="Normal"/>
              <w:ind w:start="1" w:firstLine="420"/>
              <w:rPr>
                <w:rFonts w:ascii="SimHei" w:hAnsi="SimHei" w:eastAsia="黑体" w:cs="SimHei"/>
                <w:b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  <w:t>交期的进度控制</w:t>
            </w:r>
          </w:p>
        </w:tc>
        <w:tc>
          <w:tcPr>
            <w:tcW w:w="800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责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任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62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根据生产部需求计划，制定各类原辅材料的库存、采购计划。</w:t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对于供应商的劳动能力、质量、交货信誉的评审；选择足量的供应商；加强与供应商的接洽沟通，建立双盈的合作模式。 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开展市场调研，了解物资市场商情，按制度规定，及时编写物资市场分板报告；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接待物资供方，做好相关记录；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依据计划和按照制度进行物资采购；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负责供应资质材料及供货合同的汇总登记和保管；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了解材料库存状况和材料的使用状况；根据授权范围签订物资采购合同；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协助质保部门做好材料入库检验；负责应退物资的退货和索赔；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参与相关物资的招标工作；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协助物流部做好年、月度盘点工作；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完成领导交办的其他任务；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权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限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不合格供应商的淘汰建议权</w:t>
            </w:r>
          </w:p>
        </w:tc>
      </w:tr>
      <w:tr>
        <w:trPr/>
        <w:tc>
          <w:tcPr>
            <w:tcW w:w="62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有开发并联系新的供应商的权利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color w:val="000000"/>
                <w:kern w:val="0"/>
                <w:sz w:val="24"/>
                <w:szCs w:val="21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有考察供应商的物料质量权利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  <w:szCs w:val="21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参与</w:t>
            </w:r>
            <w:r>
              <w:rPr>
                <w:rFonts w:ascii="SimHei" w:hAnsi="SimHei" w:eastAsia="黑体" w:cs="SimHei"/>
                <w:kern w:val="0"/>
                <w:szCs w:val="21"/>
              </w:rPr>
              <w:t>呆滞</w:t>
            </w:r>
            <w:r>
              <w:rPr>
                <w:rFonts w:ascii="SimHei" w:hAnsi="SimHei" w:eastAsia="黑体" w:cs="SimHei"/>
                <w:kern w:val="0"/>
                <w:szCs w:val="21"/>
              </w:rPr>
              <w:t>物资</w:t>
            </w:r>
            <w:r>
              <w:rPr>
                <w:rFonts w:ascii="SimHei" w:hAnsi="SimHei" w:eastAsia="黑体" w:cs="SimHei"/>
                <w:kern w:val="0"/>
                <w:szCs w:val="21"/>
              </w:rPr>
              <w:t>的</w:t>
            </w:r>
            <w:r>
              <w:rPr>
                <w:rFonts w:ascii="SimHei" w:hAnsi="SimHei" w:eastAsia="黑体" w:cs="SimHei"/>
                <w:kern w:val="0"/>
                <w:szCs w:val="21"/>
              </w:rPr>
              <w:t>处理</w:t>
            </w:r>
            <w:r>
              <w:rPr>
                <w:rFonts w:ascii="SimHei" w:hAnsi="SimHei" w:eastAsia="黑体" w:cs="SimHei"/>
                <w:kern w:val="0"/>
                <w:szCs w:val="21"/>
              </w:rPr>
              <w:t>，负责与供应商交涉退货、换货方案。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按照最优性价比原则，</w:t>
            </w:r>
            <w:r>
              <w:rPr>
                <w:rFonts w:ascii="SimHei" w:hAnsi="SimHei" w:eastAsia="黑体" w:cs="SimHei"/>
                <w:kern w:val="0"/>
                <w:szCs w:val="21"/>
              </w:rPr>
              <w:t>提供</w:t>
            </w:r>
            <w:r>
              <w:rPr>
                <w:rFonts w:ascii="SimHei" w:hAnsi="SimHei" w:eastAsia="黑体" w:cs="SimHei"/>
                <w:kern w:val="0"/>
                <w:szCs w:val="21"/>
              </w:rPr>
              <w:t>备选供应商的质量、</w:t>
            </w:r>
            <w:hyperlink r:id="rId2" w:tgtFrame="_blank">
              <w:r>
                <w:rPr>
                  <w:rStyle w:val="InternetLink"/>
                  <w:rFonts w:ascii="SimHei" w:hAnsi="SimHei" w:eastAsia="黑体" w:cs="SimHei"/>
                  <w:kern w:val="0"/>
                  <w:szCs w:val="21"/>
                </w:rPr>
                <w:t>价格</w:t>
              </w:r>
            </w:hyperlink>
            <w:r>
              <w:rPr>
                <w:rFonts w:ascii="SimHei" w:hAnsi="SimHei" w:eastAsia="黑体" w:cs="SimHei"/>
                <w:kern w:val="0"/>
                <w:szCs w:val="21"/>
              </w:rPr>
              <w:t>、服务</w:t>
            </w:r>
            <w:r>
              <w:rPr>
                <w:rFonts w:ascii="SimHei" w:hAnsi="SimHei" w:eastAsia="黑体" w:cs="SimHei"/>
                <w:kern w:val="0"/>
                <w:szCs w:val="21"/>
              </w:rPr>
              <w:t>的</w:t>
            </w:r>
            <w:r>
              <w:rPr>
                <w:rFonts w:ascii="SimHei" w:hAnsi="SimHei" w:eastAsia="黑体" w:cs="SimHei"/>
                <w:kern w:val="0"/>
                <w:szCs w:val="21"/>
              </w:rPr>
              <w:t>综合评价</w:t>
            </w:r>
            <w:r>
              <w:rPr>
                <w:rFonts w:ascii="SimHei" w:hAnsi="SimHei" w:eastAsia="黑体" w:cs="SimHei"/>
                <w:kern w:val="0"/>
                <w:szCs w:val="21"/>
              </w:rPr>
              <w:t>信息</w:t>
            </w:r>
            <w:r>
              <w:rPr>
                <w:rFonts w:ascii="SimHei" w:hAnsi="SimHei" w:eastAsia="黑体" w:cs="SimHei"/>
                <w:kern w:val="0"/>
                <w:szCs w:val="21"/>
              </w:rPr>
              <w:t>以确定供应商；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kern w:val="0"/>
                <w:sz w:val="24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  <w:szCs w:val="21"/>
              </w:rPr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负责供应商关系的协调处理，处理供货质量问题，落实供应商提供的</w:t>
            </w:r>
            <w:hyperlink r:id="rId3" w:tgtFrame="_blank">
              <w:r>
                <w:rPr>
                  <w:rStyle w:val="InternetLink"/>
                  <w:rFonts w:ascii="SimHei" w:hAnsi="SimHei" w:eastAsia="黑体" w:cs="SimHei"/>
                  <w:kern w:val="0"/>
                  <w:szCs w:val="21"/>
                </w:rPr>
                <w:t>售后</w:t>
              </w:r>
            </w:hyperlink>
            <w:r>
              <w:rPr>
                <w:rFonts w:ascii="SimHei" w:hAnsi="SimHei" w:eastAsia="黑体" w:cs="SimHei"/>
                <w:kern w:val="0"/>
                <w:szCs w:val="21"/>
              </w:rPr>
              <w:t>服务；</w:t>
            </w:r>
          </w:p>
        </w:tc>
      </w:tr>
      <w:tr>
        <w:trPr/>
        <w:tc>
          <w:tcPr>
            <w:tcW w:w="6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任职要求</w:t>
            </w:r>
          </w:p>
        </w:tc>
        <w:tc>
          <w:tcPr>
            <w:tcW w:w="79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学历及专业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机械制造，机电专业及相关专业专科以上学历，如个人能力突出可放宽录取条件；</w:t>
            </w:r>
            <w:r>
              <w:rPr>
                <w:rFonts w:ascii="SimHei" w:hAnsi="SimHei" w:eastAsia="黑体" w:cs="SimHei"/>
                <w:b/>
                <w:color w:val="000000"/>
                <w:szCs w:val="21"/>
              </w:rPr>
              <w:t>工作经验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440" w:leader="none"/>
              </w:tabs>
              <w:ind w:start="-6" w:hanging="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>具有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1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年以上电动工具公司采购工作经历；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职业技能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1440" w:leader="none"/>
              </w:tabs>
              <w:ind w:start="-6" w:hanging="0"/>
              <w:rPr>
                <w:rFonts w:ascii="SimHei" w:hAnsi="SimHei" w:eastAsia="黑体" w:cs="SimHei"/>
                <w:color w:val="000000"/>
                <w:szCs w:val="21"/>
              </w:rPr>
            </w:pPr>
            <w:r>
              <w:rPr>
                <w:rFonts w:ascii="SimHei" w:hAnsi="SimHei" w:eastAsia="黑体" w:cs="SimHei"/>
                <w:color w:val="000000"/>
                <w:szCs w:val="21"/>
              </w:rPr>
              <w:t xml:space="preserve">懂 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IS09000</w:t>
            </w:r>
            <w:r>
              <w:rPr>
                <w:rFonts w:ascii="SimHei" w:hAnsi="SimHei" w:eastAsia="黑体" w:cs="SimHei"/>
                <w:color w:val="000000"/>
                <w:szCs w:val="21"/>
              </w:rPr>
              <w:t>及采购相关程序，了解相关电动工具材料市场行情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公文处理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熟悉采购合作的系列合同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计算机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能熟练使用</w:t>
            </w:r>
            <w:r>
              <w:rPr>
                <w:rFonts w:ascii="SimHei" w:hAnsi="SimHei" w:eastAsia="黑体" w:cs="SimHei"/>
                <w:kern w:val="0"/>
                <w:sz w:val="24"/>
              </w:rPr>
              <w:t>OFFICE</w:t>
            </w:r>
            <w:r>
              <w:rPr>
                <w:rFonts w:ascii="SimHei" w:hAnsi="SimHei" w:eastAsia="黑体" w:cs="SimHei"/>
                <w:kern w:val="0"/>
                <w:sz w:val="24"/>
              </w:rPr>
              <w:t>办公软件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Cs w:val="21"/>
              </w:rPr>
              <w:t>试卷考试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入职考试合格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b/>
                <w:b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kern w:val="0"/>
                <w:szCs w:val="21"/>
              </w:rPr>
              <w:t>实作考试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专业技能考试合格</w:t>
            </w:r>
          </w:p>
        </w:tc>
      </w:tr>
      <w:tr>
        <w:trPr/>
        <w:tc>
          <w:tcPr>
            <w:tcW w:w="14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  <w:t>考核指标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kern w:val="0"/>
                <w:sz w:val="24"/>
              </w:rPr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1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工作业绩  </w:t>
            </w:r>
            <w:r>
              <w:rPr>
                <w:rFonts w:ascii="SimHei" w:hAnsi="SimHei" w:eastAsia="黑体" w:cs="SimHei"/>
                <w:kern w:val="0"/>
                <w:sz w:val="24"/>
              </w:rPr>
              <w:t>75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分   占总分 </w:t>
            </w:r>
            <w:r>
              <w:rPr>
                <w:rFonts w:ascii="SimHei" w:hAnsi="SimHei" w:eastAsia="黑体" w:cs="SimHei"/>
                <w:kern w:val="0"/>
                <w:sz w:val="24"/>
              </w:rPr>
              <w:t>75%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2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工作能力  </w:t>
            </w:r>
            <w:r>
              <w:rPr>
                <w:rFonts w:ascii="SimHei" w:hAnsi="SimHei" w:eastAsia="黑体" w:cs="SimHei"/>
                <w:kern w:val="0"/>
                <w:sz w:val="24"/>
              </w:rPr>
              <w:t>10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分   占总分 </w:t>
            </w:r>
            <w:r>
              <w:rPr>
                <w:rFonts w:ascii="SimHei" w:hAnsi="SimHei" w:eastAsia="黑体" w:cs="SimHei"/>
                <w:kern w:val="0"/>
                <w:sz w:val="24"/>
              </w:rPr>
              <w:t>10%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3 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工作能力  </w:t>
            </w:r>
            <w:r>
              <w:rPr>
                <w:rFonts w:ascii="SimHei" w:hAnsi="SimHei" w:eastAsia="黑体" w:cs="SimHei"/>
                <w:kern w:val="0"/>
                <w:sz w:val="24"/>
              </w:rPr>
              <w:t>15</w:t>
            </w:r>
            <w:r>
              <w:rPr>
                <w:rFonts w:ascii="SimHei" w:hAnsi="SimHei" w:eastAsia="黑体" w:cs="SimHei"/>
                <w:kern w:val="0"/>
                <w:sz w:val="24"/>
              </w:rPr>
              <w:t xml:space="preserve">分   占总分 </w:t>
            </w:r>
            <w:r>
              <w:rPr>
                <w:rFonts w:ascii="SimHei" w:hAnsi="SimHei" w:eastAsia="黑体" w:cs="SimHei"/>
                <w:kern w:val="0"/>
                <w:sz w:val="24"/>
              </w:rPr>
              <w:t>15%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考核总分为</w:t>
            </w:r>
            <w:r>
              <w:rPr>
                <w:rFonts w:ascii="SimHei" w:hAnsi="SimHei" w:eastAsia="黑体" w:cs="SimHei"/>
                <w:kern w:val="0"/>
                <w:sz w:val="24"/>
              </w:rPr>
              <w:t>100</w:t>
            </w:r>
            <w:r>
              <w:rPr>
                <w:rFonts w:ascii="SimHei" w:hAnsi="SimHei" w:eastAsia="黑体" w:cs="SimHei"/>
                <w:kern w:val="0"/>
                <w:sz w:val="24"/>
              </w:rPr>
              <w:t>分</w:t>
            </w:r>
          </w:p>
        </w:tc>
      </w:tr>
      <w:tr>
        <w:trPr/>
        <w:tc>
          <w:tcPr>
            <w:tcW w:w="852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</w:tbl>
    <w:p>
      <w:pPr>
        <w:pStyle w:val="Normal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</w:r>
    </w:p>
    <w:tbl>
      <w:tblPr>
        <w:tblW w:w="10160" w:type="dxa"/>
        <w:jc w:val="start"/>
        <w:tblInd w:w="-9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080"/>
        <w:gridCol w:w="1080"/>
        <w:gridCol w:w="5840"/>
      </w:tblGrid>
      <w:tr>
        <w:trPr>
          <w:trHeight w:val="33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kern w:val="0"/>
                <w:sz w:val="20"/>
                <w:szCs w:val="20"/>
              </w:rPr>
              <w:t>定义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kern w:val="0"/>
                <w:sz w:val="20"/>
                <w:szCs w:val="20"/>
              </w:rPr>
              <w:t>考核得分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kern w:val="0"/>
                <w:sz w:val="20"/>
                <w:szCs w:val="20"/>
              </w:rPr>
              <w:t>绩效系数</w:t>
            </w:r>
          </w:p>
        </w:tc>
        <w:tc>
          <w:tcPr>
            <w:tcW w:w="58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b/>
                <w:bCs/>
                <w:color w:val="000000"/>
                <w:kern w:val="0"/>
                <w:sz w:val="20"/>
                <w:szCs w:val="20"/>
              </w:rPr>
              <w:t>说 明</w:t>
            </w:r>
          </w:p>
        </w:tc>
      </w:tr>
      <w:tr>
        <w:trPr>
          <w:trHeight w:val="766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100-90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58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实际绩效完全达到或超过预期计划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在计划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目标的主要方面都取得非常突出的成绩</w:t>
            </w:r>
          </w:p>
        </w:tc>
      </w:tr>
      <w:tr>
        <w:trPr>
          <w:trHeight w:val="642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89-75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实际绩效基本达到预期计划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既没有突出的表现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也没有明显的失误</w:t>
            </w:r>
          </w:p>
        </w:tc>
      </w:tr>
      <w:tr>
        <w:trPr>
          <w:trHeight w:val="660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需改进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74-60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58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实际绩效部分未达到预期计划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或任务基本完成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但工作质量、效率不高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需 进一步改进才能达到要求</w:t>
            </w:r>
          </w:p>
        </w:tc>
      </w:tr>
      <w:tr>
        <w:trPr>
          <w:trHeight w:val="330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差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58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在很多方面存在失误或不足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SimHei" w:hAnsi="SimHei" w:eastAsia="黑体" w:cs="SimHei"/>
                <w:color w:val="000000"/>
                <w:kern w:val="0"/>
                <w:sz w:val="20"/>
                <w:szCs w:val="20"/>
              </w:rPr>
              <w:t>不能符合公司要求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1 </w:t>
            </w:r>
            <w:r>
              <w:rPr>
                <w:rFonts w:ascii="SimHei" w:hAnsi="SimHei" w:eastAsia="黑体" w:cs="SimHei"/>
                <w:kern w:val="0"/>
                <w:sz w:val="24"/>
              </w:rPr>
              <w:t>考核得分超过或等于</w:t>
            </w:r>
            <w:r>
              <w:rPr>
                <w:rFonts w:ascii="SimHei" w:hAnsi="SimHei" w:eastAsia="黑体" w:cs="SimHei"/>
                <w:kern w:val="0"/>
                <w:sz w:val="24"/>
              </w:rPr>
              <w:t>90</w:t>
            </w:r>
            <w:r>
              <w:rPr>
                <w:rFonts w:ascii="SimHei" w:hAnsi="SimHei" w:eastAsia="黑体" w:cs="SimHei"/>
                <w:kern w:val="0"/>
                <w:sz w:val="24"/>
              </w:rPr>
              <w:t>分为优秀，绩效奖金是绩效奖金基数的</w:t>
            </w:r>
            <w:r>
              <w:rPr>
                <w:rFonts w:ascii="SimHei" w:hAnsi="SimHei" w:eastAsia="黑体" w:cs="SimHei"/>
                <w:kern w:val="0"/>
                <w:sz w:val="24"/>
              </w:rPr>
              <w:t>1.1</w:t>
            </w:r>
            <w:r>
              <w:rPr>
                <w:rFonts w:ascii="SimHei" w:hAnsi="SimHei" w:eastAsia="黑体" w:cs="SimHei"/>
                <w:kern w:val="0"/>
                <w:sz w:val="24"/>
              </w:rPr>
              <w:t>倍</w:t>
            </w:r>
          </w:p>
        </w:tc>
      </w:tr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</w:rPr>
              <w:t>考核得分在</w:t>
            </w:r>
            <w:r>
              <w:rPr>
                <w:rFonts w:ascii="SimHei" w:hAnsi="SimHei" w:eastAsia="黑体" w:cs="SimHei"/>
                <w:kern w:val="0"/>
                <w:sz w:val="24"/>
              </w:rPr>
              <w:t>75-89</w:t>
            </w:r>
            <w:r>
              <w:rPr>
                <w:rFonts w:ascii="SimHei" w:hAnsi="SimHei" w:eastAsia="黑体" w:cs="SimHei"/>
                <w:kern w:val="0"/>
                <w:sz w:val="24"/>
              </w:rPr>
              <w:t>分之间为合格，绩效奖金等于绩效奖金基数；</w:t>
            </w:r>
          </w:p>
        </w:tc>
      </w:tr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</w:rPr>
              <w:t>考核得分在</w:t>
            </w:r>
            <w:r>
              <w:rPr>
                <w:rFonts w:ascii="SimHei" w:hAnsi="SimHei" w:eastAsia="黑体" w:cs="SimHei"/>
                <w:kern w:val="0"/>
                <w:sz w:val="24"/>
              </w:rPr>
              <w:t>60-74</w:t>
            </w:r>
            <w:r>
              <w:rPr>
                <w:rFonts w:ascii="SimHei" w:hAnsi="SimHei" w:eastAsia="黑体" w:cs="SimHei"/>
                <w:kern w:val="0"/>
                <w:sz w:val="24"/>
              </w:rPr>
              <w:t>分之间为需改进，绩效奖金是绩效奖金基数的</w:t>
            </w:r>
            <w:r>
              <w:rPr>
                <w:rFonts w:ascii="SimHei" w:hAnsi="SimHei" w:eastAsia="黑体" w:cs="SimHei"/>
                <w:kern w:val="0"/>
                <w:sz w:val="24"/>
              </w:rPr>
              <w:t>0.9</w:t>
            </w:r>
            <w:r>
              <w:rPr>
                <w:rFonts w:ascii="SimHei" w:hAnsi="SimHei" w:eastAsia="黑体" w:cs="SimHei"/>
                <w:kern w:val="0"/>
                <w:sz w:val="24"/>
              </w:rPr>
              <w:t>倍；</w:t>
            </w:r>
          </w:p>
        </w:tc>
      </w:tr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 xml:space="preserve">4 </w:t>
            </w:r>
            <w:r>
              <w:rPr>
                <w:rFonts w:ascii="SimHei" w:hAnsi="SimHei" w:eastAsia="黑体" w:cs="SimHei"/>
                <w:kern w:val="0"/>
                <w:sz w:val="24"/>
              </w:rPr>
              <w:t>考核得分在</w:t>
            </w:r>
            <w:r>
              <w:rPr>
                <w:rFonts w:ascii="SimHei" w:hAnsi="SimHei" w:eastAsia="黑体" w:cs="SimHei"/>
                <w:kern w:val="0"/>
                <w:sz w:val="24"/>
              </w:rPr>
              <w:t>60</w:t>
            </w:r>
            <w:r>
              <w:rPr>
                <w:rFonts w:ascii="SimHei" w:hAnsi="SimHei" w:eastAsia="黑体" w:cs="SimHei"/>
                <w:kern w:val="0"/>
                <w:sz w:val="24"/>
              </w:rPr>
              <w:t>分以下为差，绩效奖金是绩效奖金基数的</w:t>
            </w:r>
            <w:r>
              <w:rPr>
                <w:rFonts w:ascii="SimHei" w:hAnsi="SimHei" w:eastAsia="黑体" w:cs="SimHei"/>
                <w:kern w:val="0"/>
                <w:sz w:val="24"/>
              </w:rPr>
              <w:t>0.6</w:t>
            </w:r>
            <w:r>
              <w:rPr>
                <w:rFonts w:ascii="SimHei" w:hAnsi="SimHei" w:eastAsia="黑体" w:cs="SimHei"/>
                <w:kern w:val="0"/>
                <w:sz w:val="24"/>
              </w:rPr>
              <w:t>倍，连续两个季度评为差的，予以调换岗位或解除劳动合同；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仿宋_GB2312">
    <w:altName w:val="方正仿宋_GBK"/>
    <w:charset w:val="00" w:characterSet="windows-1252"/>
    <w:family w:val="modern"/>
    <w:pitch w:val="default"/>
  </w:font>
  <w:font w:name="宋体">
    <w:altName w:val="汉仪书宋二KW"/>
    <w:charset w:val="86"/>
    <w:family w:val="auto"/>
    <w:pitch w:val="default"/>
  </w:font>
  <w:font w:name="某企业雅黑">
    <w:altName w:val="汉仪旗黑"/>
    <w:charset w:val="00" w:characterSet="windows-1252"/>
    <w:family w:val="swiss"/>
    <w:pitch w:val="default"/>
  </w:font>
  <w:font w:name="Cambria">
    <w:altName w:val="苹方-简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thinThickSmallGap" w:sz="24" w:space="1" w:color="622423"/>
      </w:pBdr>
      <w:jc w:val="end"/>
      <w:rPr>
        <w:rFonts w:ascii="SimHei" w:hAnsi="SimHei" w:eastAsia="黑体" w:cs="SimHei"/>
      </w:rPr>
    </w:pPr>
    <w:r>
      <w:rPr>
        <w:rFonts w:ascii="SimHei" w:hAnsi="SimHei" w:eastAsia="黑体" w:cs="SimHei"/>
        <w:lang w:val="zh-CN"/>
      </w:rPr>
      <w:t xml:space="preserve">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jc w:val="end"/>
      <w:rPr>
        <w:rFonts w:ascii="SimHei" w:hAnsi="SimHei" w:eastAsia="黑体" w:cs="SimHei"/>
      </w:rPr>
    </w:pPr>
    <w:r>
      <w:rPr>
        <w:rFonts w:ascii="SimHei" w:hAnsi="SimHei" w:eastAsia="黑体" w:cs="SimHei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end"/>
      <w:rPr>
        <w:b/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character" w:styleId="Char">
    <w:name w:val="批注框文本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character" w:styleId="Char2">
    <w:name w:val="页眉 Char"/>
    <w:basedOn w:val="Style14"/>
    <w:qFormat/>
    <w:rPr>
      <w:kern w:val="2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xcdoc.com/tag/&#20215;&#26684;/" TargetMode="External"/><Relationship Id="rId3" Type="http://schemas.openxmlformats.org/officeDocument/2006/relationships/hyperlink" Target="http://www.excdoc.com/tag/&#21806;&#21518;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2010-11-12T06:06:00Z</dcterms:created>
  <dc:creator>user</dc:creator>
  <dc:description/>
  <dc:language>en-US</dc:language>
  <cp:lastModifiedBy>稿定办公</cp:lastModifiedBy>
  <dcterms:modified xsi:type="dcterms:W3CDTF">2023-03-08T06:19:54Z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22C63F3BE13B2C5E0A4807647016873D_42</vt:lpwstr>
  </property>
  <property fmtid="{D5CDD505-2E9C-101B-9397-08002B2CF9AE}" pid="3" name="KSOProductBuildVer">
    <vt:lpwstr>2052-5.2.1.7798</vt:lpwstr>
  </property>
</Properties>
</file>