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SimHei" w:hAnsi="SimHei" w:eastAsia="黑体" w:cs="SimHei"/>
          <w:b/>
          <w:b/>
          <w:color w:val="404040"/>
          <w:sz w:val="112"/>
          <w:szCs w:val="112"/>
          <w:lang w:val="en-US" w:eastAsia="zh-CN"/>
        </w:rPr>
      </w:pPr>
      <w:r>
        <w:rPr>
          <w:rFonts w:ascii="SimHei" w:hAnsi="SimHei" w:eastAsia="黑体" w:cs="SimHei"/>
          <w:b/>
          <w:color w:val="404040"/>
          <w:sz w:val="112"/>
          <w:szCs w:val="112"/>
          <w:lang w:val="en-US" w:eastAsia="zh-CN"/>
        </w:rPr>
      </w:r>
    </w:p>
    <w:p>
      <w:pPr>
        <w:pStyle w:val="Normal"/>
        <w:jc w:val="both"/>
        <w:rPr>
          <w:rFonts w:ascii="SimHei" w:hAnsi="SimHei" w:eastAsia="黑体" w:cs="SimHei"/>
          <w:b/>
          <w:b/>
          <w:color w:val="404040"/>
          <w:sz w:val="112"/>
          <w:szCs w:val="112"/>
          <w:lang w:val="en-US" w:eastAsia="zh-CN"/>
        </w:rPr>
      </w:pPr>
      <w:r>
        <w:rPr>
          <w:rFonts w:ascii="SimHei" w:hAnsi="SimHei" w:eastAsia="黑体" w:cs="SimHei"/>
          <w:b/>
          <w:color w:val="404040"/>
          <w:sz w:val="112"/>
          <w:szCs w:val="112"/>
          <w:lang w:val="en-US" w:eastAsia="zh-CN"/>
        </w:rPr>
      </w:r>
    </w:p>
    <w:p>
      <w:pPr>
        <w:pStyle w:val="Normal"/>
        <w:jc w:val="center"/>
        <w:rPr>
          <w:rFonts w:ascii="SimHei" w:hAnsi="SimHei" w:eastAsia="黑体" w:cs="SimHei"/>
          <w:b/>
          <w:b/>
          <w:bCs/>
          <w:color w:val="FF0000"/>
          <w:sz w:val="112"/>
          <w:szCs w:val="112"/>
        </w:rPr>
      </w:pPr>
      <w:r>
        <w:rPr>
          <w:rFonts w:ascii="SimHei" w:hAnsi="SimHei" w:eastAsia="黑体" w:cs="SimHei"/>
          <w:b/>
          <w:color w:val="404040"/>
          <w:sz w:val="112"/>
          <w:szCs w:val="112"/>
          <w:lang w:val="en-US" w:eastAsia="zh-CN"/>
        </w:rPr>
        <w:t>竞业禁止</w:t>
      </w:r>
      <w:r>
        <w:rPr>
          <w:rFonts w:ascii="SimHei" w:hAnsi="SimHei" w:eastAsia="黑体" w:cs="SimHei"/>
          <w:b/>
          <w:color w:val="404040"/>
          <w:sz w:val="112"/>
          <w:szCs w:val="112"/>
        </w:rPr>
        <w:t>协议</w:t>
      </w:r>
    </w:p>
    <w:p>
      <w:pPr>
        <w:pStyle w:val="Normal"/>
        <w:jc w:val="center"/>
        <w:rPr>
          <w:rFonts w:ascii="SimHei" w:hAnsi="SimHei" w:eastAsia="黑体" w:cs="SimHei"/>
          <w:b/>
          <w:b/>
          <w:bCs/>
          <w:color w:val="7F7F7F"/>
          <w:sz w:val="32"/>
          <w:szCs w:val="32"/>
        </w:rPr>
      </w:pPr>
      <w:r>
        <w:rPr>
          <w:rFonts w:ascii="SimHei" w:hAnsi="SimHei" w:eastAsia="黑体" w:cs="SimHei"/>
          <w:b/>
          <w:bCs/>
          <w:color w:val="7F7F7F"/>
          <w:sz w:val="32"/>
          <w:szCs w:val="32"/>
        </w:rPr>
      </w:r>
    </w:p>
    <w:p>
      <w:pPr>
        <w:sectPr>
          <w:footerReference w:type="default" r:id="rId2"/>
          <w:type w:val="nextPage"/>
          <w:pgSz w:w="11906" w:h="16838"/>
          <w:pgMar w:left="1800" w:right="1800" w:header="0" w:top="1440" w:footer="992" w:bottom="1440" w:gutter="0"/>
          <w:pgNumType w:fmt="decimal"/>
          <w:formProt w:val="false"/>
          <w:textDirection w:val="lrTb"/>
          <w:docGrid w:type="lines" w:linePitch="312" w:charSpace="0"/>
        </w:sectPr>
        <w:pStyle w:val="Normal"/>
        <w:jc w:val="center"/>
        <w:rPr>
          <w:rFonts w:ascii="SimHei" w:hAnsi="SimHei" w:eastAsia="黑体" w:cs="SimHei"/>
          <w:b/>
          <w:b/>
          <w:bCs/>
          <w:color w:val="C00000"/>
          <w:sz w:val="52"/>
          <w:szCs w:val="52"/>
        </w:rPr>
      </w:pPr>
      <w:r>
        <w:rPr>
          <w:rFonts w:ascii="SimHei" w:hAnsi="SimHei" w:eastAsia="黑体" w:cs="SimHei"/>
          <w:b/>
          <w:bCs/>
          <w:color w:val="C00000"/>
          <w:sz w:val="52"/>
          <w:szCs w:val="52"/>
        </w:rPr>
        <w:t>（</w:t>
      </w:r>
      <w:r>
        <w:rPr>
          <w:rFonts w:ascii="SimHei" w:hAnsi="SimHei" w:eastAsia="黑体" w:cs="SimHei"/>
          <w:b/>
          <w:bCs/>
          <w:color w:val="C00000"/>
          <w:sz w:val="52"/>
          <w:szCs w:val="52"/>
          <w:lang w:val="en-US" w:eastAsia="zh-CN"/>
        </w:rPr>
        <w:t>律师备注，风险提示</w:t>
      </w:r>
      <w:r>
        <w:rPr>
          <w:rFonts w:ascii="SimHei" w:hAnsi="SimHei" w:eastAsia="黑体" w:cs="SimHei"/>
          <w:b/>
          <w:bCs/>
          <w:color w:val="C00000"/>
          <w:sz w:val="52"/>
          <w:szCs w:val="52"/>
        </w:rPr>
        <w:t>）</w:t>
      </w:r>
    </w:p>
    <w:p>
      <w:pPr>
        <w:pStyle w:val="Normal"/>
        <w:snapToGrid w:val="false"/>
        <w:spacing w:lineRule="auto" w:line="360"/>
        <w:jc w:val="center"/>
        <w:rPr>
          <w:rFonts w:ascii="SimHei" w:hAnsi="SimHei" w:eastAsia="黑体" w:cs="SimHei"/>
          <w:b/>
          <w:b/>
          <w:bCs/>
          <w:color w:val="0070C0"/>
          <w:sz w:val="48"/>
          <w:szCs w:val="48"/>
        </w:rPr>
      </w:pPr>
      <w:r>
        <w:rPr>
          <w:rFonts w:ascii="SimHei" w:hAnsi="SimHei" w:eastAsia="黑体" w:cs="SimHei"/>
          <w:b/>
          <w:bCs/>
          <w:color w:val="0070C0"/>
          <w:sz w:val="48"/>
          <w:szCs w:val="48"/>
        </w:rPr>
        <w:t>竞业禁止合同（高级管理人员）</w:t>
      </w:r>
    </w:p>
    <w:p>
      <w:pPr>
        <w:pStyle w:val="Normal"/>
        <w:spacing w:lineRule="auto" w:line="360"/>
        <w:jc w:val="center"/>
        <w:rPr>
          <w:rFonts w:ascii="SimHei" w:hAnsi="SimHei" w:eastAsia="黑体" w:cs="SimHei"/>
          <w:b/>
          <w:b/>
          <w:bCs/>
          <w:color w:val="0070C0"/>
          <w:sz w:val="24"/>
          <w:szCs w:val="24"/>
          <w:lang w:val="en-US" w:eastAsia="en-US"/>
        </w:rPr>
      </w:pPr>
      <w:r>
        <w:rPr>
          <w:rFonts w:ascii="SimHei" w:hAnsi="SimHei" w:eastAsia="黑体" w:cs="SimHei"/>
          <w:b/>
          <w:bCs/>
          <w:color w:val="0070C0"/>
          <w:sz w:val="24"/>
          <w:szCs w:val="24"/>
          <w:lang w:val="en-US" w:eastAsia="en-US"/>
        </w:rPr>
      </w:r>
    </w:p>
    <w:p>
      <w:pPr>
        <w:pStyle w:val="Normal"/>
        <w:spacing w:lineRule="auto" w:line="360"/>
        <w:jc w:val="center"/>
        <w:rPr>
          <w:rFonts w:ascii="SimHei" w:hAnsi="SimHei" w:eastAsia="黑体" w:cs="SimHei"/>
          <w:b/>
          <w:b/>
          <w:sz w:val="24"/>
          <w:szCs w:val="24"/>
          <w:lang w:val="en-US" w:eastAsia="en-US"/>
        </w:rPr>
      </w:pPr>
      <w:r>
        <w:rPr>
          <w:rFonts w:ascii="SimHei" w:hAnsi="SimHei" w:eastAsia="黑体" w:cs="SimHei"/>
          <w:b/>
          <w:sz w:val="24"/>
          <w:szCs w:val="24"/>
          <w:lang w:val="en-US" w:eastAsia="en-US"/>
        </w:rPr>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甲方：（用人单位）</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法定代表人：</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乙方：（劳动者）</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证件号：</w:t>
      </w:r>
    </w:p>
    <w:p>
      <w:pPr>
        <w:pStyle w:val="Normal"/>
        <w:spacing w:lineRule="auto" w:line="360"/>
        <w:rPr>
          <w:rFonts w:ascii="SimHei" w:hAnsi="SimHei" w:eastAsia="黑体" w:cs="SimHei"/>
          <w:sz w:val="24"/>
          <w:szCs w:val="24"/>
        </w:rPr>
      </w:pPr>
      <w:r>
        <w:rPr>
          <w:rFonts w:ascii="SimHei" w:hAnsi="SimHei" w:eastAsia="黑体" w:cs="SimHei"/>
          <w:sz w:val="24"/>
          <w:szCs w:val="24"/>
        </w:rPr>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鉴于：</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甲、乙双方根据《中华人民共各国劳动合同法》、《中华人民共和国反不正当竞争法》等有关规定，双方在遵循平等自愿、协商一致、诚实信用的原则下，就竞业禁止事项达成协议如下：</w:t>
      </w:r>
    </w:p>
    <w:p>
      <w:pPr>
        <w:pStyle w:val="Normal"/>
        <w:spacing w:lineRule="auto" w:line="360"/>
        <w:ind w:firstLine="480"/>
        <w:rPr>
          <w:rFonts w:ascii="SimHei" w:hAnsi="SimHei" w:eastAsia="黑体" w:cs="SimHei"/>
          <w:b/>
          <w:b/>
          <w:bCs/>
          <w:sz w:val="24"/>
          <w:szCs w:val="24"/>
        </w:rPr>
      </w:pPr>
      <w:r>
        <w:rPr>
          <w:rFonts w:ascii="SimHei" w:hAnsi="SimHei" w:eastAsia="黑体" w:cs="SimHei"/>
          <w:b/>
          <w:bCs/>
          <w:sz w:val="24"/>
          <w:szCs w:val="24"/>
        </w:rPr>
        <w:t>第一条　竞争业务</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1</w:t>
      </w:r>
      <w:r>
        <w:rPr>
          <w:rFonts w:ascii="SimHei" w:hAnsi="SimHei" w:eastAsia="黑体" w:cs="SimHei"/>
          <w:sz w:val="24"/>
          <w:szCs w:val="24"/>
        </w:rPr>
        <w:t>、竞争业务指：</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w:t>
      </w:r>
      <w:r>
        <w:rPr>
          <w:rFonts w:ascii="SimHei" w:hAnsi="SimHei" w:eastAsia="黑体" w:cs="SimHei"/>
          <w:sz w:val="24"/>
          <w:szCs w:val="24"/>
        </w:rPr>
        <w:t>1</w:t>
      </w:r>
      <w:r>
        <w:rPr>
          <w:rFonts w:ascii="SimHei" w:hAnsi="SimHei" w:eastAsia="黑体" w:cs="SimHei"/>
          <w:sz w:val="24"/>
          <w:szCs w:val="24"/>
        </w:rPr>
        <w:t>）公司或其关联公司从事或计划从事的业务；</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w:t>
      </w:r>
      <w:r>
        <w:rPr>
          <w:rFonts w:ascii="SimHei" w:hAnsi="SimHei" w:eastAsia="黑体" w:cs="SimHei"/>
          <w:sz w:val="24"/>
          <w:szCs w:val="24"/>
        </w:rPr>
        <w:t>2</w:t>
      </w:r>
      <w:r>
        <w:rPr>
          <w:rFonts w:ascii="SimHei" w:hAnsi="SimHei" w:eastAsia="黑体" w:cs="SimHei"/>
          <w:sz w:val="24"/>
          <w:szCs w:val="24"/>
        </w:rPr>
        <w:t>）与公司或其关联公司所经营的业务相同、相近或相竞争的其他业务。</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2</w:t>
      </w:r>
      <w:r>
        <w:rPr>
          <w:rFonts w:ascii="SimHei" w:hAnsi="SimHei" w:eastAsia="黑体" w:cs="SimHei"/>
          <w:sz w:val="24"/>
          <w:szCs w:val="24"/>
        </w:rPr>
        <w:t>、期限：指乙方受聘于甲方的期限和该期限终止后</w:t>
      </w:r>
      <w:r>
        <w:rPr>
          <w:rFonts w:ascii="SimHei" w:hAnsi="SimHei" w:eastAsia="黑体" w:cs="SimHei"/>
          <w:sz w:val="24"/>
          <w:szCs w:val="24"/>
        </w:rPr>
        <w:t>____</w:t>
      </w:r>
      <w:r>
        <w:rPr>
          <w:rFonts w:ascii="SimHei" w:hAnsi="SimHei" w:eastAsia="黑体" w:cs="SimHei"/>
          <w:sz w:val="24"/>
          <w:szCs w:val="24"/>
        </w:rPr>
        <w:t>年的时间。</w:t>
      </w:r>
    </w:p>
    <w:p>
      <w:pPr>
        <w:pStyle w:val="Normal"/>
        <w:spacing w:lineRule="auto" w:line="360"/>
        <w:ind w:firstLine="480"/>
        <w:rPr>
          <w:rFonts w:ascii="SimHei" w:hAnsi="SimHei" w:eastAsia="黑体" w:cs="SimHei"/>
          <w:b/>
          <w:b/>
          <w:sz w:val="24"/>
          <w:szCs w:val="24"/>
        </w:rPr>
      </w:pPr>
      <w:r>
        <w:rPr>
          <w:rFonts w:ascii="SimHei" w:hAnsi="SimHei" w:eastAsia="黑体" w:cs="SimHei"/>
          <w:sz w:val="24"/>
          <w:szCs w:val="24"/>
        </w:rPr>
        <w:t>3</w:t>
      </w:r>
      <w:r>
        <w:rPr>
          <w:rFonts w:ascii="SimHei" w:hAnsi="SimHei" w:eastAsia="黑体" w:cs="SimHei"/>
          <w:sz w:val="24"/>
          <w:szCs w:val="24"/>
        </w:rPr>
        <w:t>、区域：指甲方或其关联企业从事或计划从事其各自业务的地理范围。</w:t>
      </w:r>
    </w:p>
    <w:p>
      <w:pPr>
        <w:pStyle w:val="Normal"/>
        <w:spacing w:lineRule="auto" w:line="360"/>
        <w:ind w:firstLine="480"/>
        <w:rPr>
          <w:rFonts w:ascii="SimHei" w:hAnsi="SimHei" w:eastAsia="黑体" w:cs="SimHei"/>
          <w:b/>
          <w:b/>
          <w:sz w:val="24"/>
          <w:szCs w:val="24"/>
        </w:rPr>
      </w:pPr>
      <w:r>
        <w:rPr>
          <w:rFonts w:ascii="SimHei" w:hAnsi="SimHei" w:eastAsia="黑体" w:cs="SimHei"/>
          <w:b/>
          <w:sz w:val="24"/>
          <w:szCs w:val="24"/>
        </w:rPr>
      </w:r>
    </w:p>
    <w:p>
      <w:pPr>
        <w:pStyle w:val="Normal"/>
        <w:spacing w:lineRule="auto" w:line="360"/>
        <w:ind w:firstLine="480"/>
        <w:rPr>
          <w:rFonts w:ascii="SimHei" w:hAnsi="SimHei" w:eastAsia="黑体" w:cs="SimHei"/>
          <w:b/>
          <w:b/>
          <w:bCs/>
          <w:sz w:val="24"/>
          <w:szCs w:val="24"/>
        </w:rPr>
      </w:pPr>
      <w:r>
        <w:rPr>
          <w:rFonts w:ascii="SimHei" w:hAnsi="SimHei" w:eastAsia="黑体" w:cs="SimHei"/>
          <w:b/>
          <w:bCs/>
          <w:sz w:val="24"/>
          <w:szCs w:val="24"/>
        </w:rPr>
        <w:t>第二条　竞业禁止</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乙方在甲方工作期间，以及离职</w:t>
      </w:r>
      <w:r>
        <w:rPr>
          <w:rFonts w:ascii="SimHei" w:hAnsi="SimHei" w:eastAsia="黑体" w:cs="SimHei"/>
          <w:sz w:val="24"/>
          <w:szCs w:val="24"/>
        </w:rPr>
        <w:t>____</w:t>
      </w:r>
      <w:r>
        <w:rPr>
          <w:rFonts w:ascii="SimHei" w:hAnsi="SimHei" w:eastAsia="黑体" w:cs="SimHei"/>
          <w:sz w:val="24"/>
          <w:szCs w:val="24"/>
        </w:rPr>
        <w:t>年内不得：</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1</w:t>
      </w:r>
      <w:r>
        <w:rPr>
          <w:rFonts w:ascii="SimHei" w:hAnsi="SimHei" w:eastAsia="黑体" w:cs="SimHei"/>
          <w:sz w:val="24"/>
          <w:szCs w:val="24"/>
        </w:rPr>
        <w:t>、设立、从事、参与或经营任何与甲方或关联方具有竞争性的实体企业；</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2</w:t>
      </w:r>
      <w:r>
        <w:rPr>
          <w:rFonts w:ascii="SimHei" w:hAnsi="SimHei" w:eastAsia="黑体" w:cs="SimHei"/>
          <w:sz w:val="24"/>
          <w:szCs w:val="24"/>
        </w:rPr>
        <w:t>、以任何方式在任何第三方内（无论是否与甲方具有竞争业务）担任任何职务或者拥有利益，上述任何职务包括但不限于雇员、董事、监事、经理、合伙人、管理人员、顾问、投资人或代理人、股东等；</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3</w:t>
      </w:r>
      <w:r>
        <w:rPr>
          <w:rFonts w:ascii="SimHei" w:hAnsi="SimHei" w:eastAsia="黑体" w:cs="SimHei"/>
          <w:sz w:val="24"/>
          <w:szCs w:val="24"/>
        </w:rPr>
        <w:t>、为与甲方或其关联方有直接或间接竞争业务的实体或个人提供咨询建议、财务支持或担保；</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4</w:t>
      </w:r>
      <w:r>
        <w:rPr>
          <w:rFonts w:ascii="SimHei" w:hAnsi="SimHei" w:eastAsia="黑体" w:cs="SimHei"/>
          <w:sz w:val="24"/>
          <w:szCs w:val="24"/>
        </w:rPr>
        <w:t>、引诱、游说或接近，或者企图引诱、游说或接近，促使甲方或其关联方的其他员工解除其与甲方或该关联方的劳动关系。</w:t>
      </w:r>
    </w:p>
    <w:p>
      <w:pPr>
        <w:pStyle w:val="Normal"/>
        <w:spacing w:lineRule="auto" w:line="360"/>
        <w:ind w:firstLine="480"/>
        <w:rPr>
          <w:rFonts w:ascii="SimHei" w:hAnsi="SimHei" w:eastAsia="黑体" w:cs="SimHei"/>
          <w:b/>
          <w:b/>
          <w:bCs/>
          <w:sz w:val="24"/>
          <w:szCs w:val="24"/>
        </w:rPr>
      </w:pPr>
      <w:r>
        <w:rPr>
          <w:rFonts w:ascii="SimHei" w:hAnsi="SimHei" w:eastAsia="黑体" w:cs="SimHei"/>
          <w:b/>
          <w:bCs/>
          <w:sz w:val="24"/>
          <w:szCs w:val="24"/>
        </w:rPr>
        <w:t>第三条　经济补偿</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负有竞业限制义务的员工，不论在任何情况下与公司终止或者解除劳动关系，在竞业限制期间内，员工应严格遵守本协议有关竞业限制的规定，公司则向员工支付竞业限制补偿金。</w:t>
      </w:r>
    </w:p>
    <w:p>
      <w:pPr>
        <w:pStyle w:val="Normal"/>
        <w:spacing w:lineRule="auto" w:line="360"/>
        <w:ind w:firstLine="480"/>
        <w:rPr>
          <w:rFonts w:ascii="SimHei" w:hAnsi="SimHei" w:eastAsia="黑体" w:cs="SimHei"/>
          <w:sz w:val="24"/>
          <w:szCs w:val="24"/>
        </w:rPr>
      </w:pPr>
      <w:r>
        <w:rPr>
          <w:rFonts w:ascii="SimHei" w:hAnsi="SimHei" w:eastAsia="黑体" w:cs="SimHei"/>
          <w:b/>
          <w:bCs/>
          <w:sz w:val="24"/>
          <w:szCs w:val="24"/>
        </w:rPr>
        <w:t>第四条　违约责任</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1</w:t>
      </w:r>
      <w:r>
        <w:rPr>
          <w:rFonts w:ascii="SimHei" w:hAnsi="SimHei" w:eastAsia="黑体" w:cs="SimHei"/>
          <w:sz w:val="24"/>
          <w:szCs w:val="24"/>
        </w:rPr>
        <w:t>、乙方不履行本协议规定的义务，应当承担违约责任，一次性向甲方支付违约金人民币</w:t>
      </w:r>
      <w:r>
        <w:rPr>
          <w:rFonts w:ascii="SimHei" w:hAnsi="SimHei" w:eastAsia="黑体" w:cs="SimHei"/>
          <w:sz w:val="24"/>
          <w:szCs w:val="24"/>
        </w:rPr>
        <w:t>______</w:t>
      </w:r>
      <w:r>
        <w:rPr>
          <w:rFonts w:ascii="SimHei" w:hAnsi="SimHei" w:eastAsia="黑体" w:cs="SimHei"/>
          <w:sz w:val="24"/>
          <w:szCs w:val="24"/>
        </w:rPr>
        <w:t>元（可以参照乙方从甲方领取的年补偿费来确定），乙方因违约行为所获得的收益应当归还甲方，甲方有权对乙方予以处分。因乙方违约行为给甲方造成损失的，乙方应当承担赔偿责任（如已经支付违约金的，应当予以扣除）。</w:t>
      </w:r>
    </w:p>
    <w:p>
      <w:pPr>
        <w:pStyle w:val="Normal"/>
        <w:spacing w:lineRule="auto" w:line="360"/>
        <w:ind w:firstLine="480"/>
        <w:rPr>
          <w:rFonts w:ascii="SimHei" w:hAnsi="SimHei" w:eastAsia="黑体" w:cs="SimHei"/>
          <w:b/>
          <w:b/>
          <w:bCs/>
          <w:sz w:val="24"/>
          <w:szCs w:val="24"/>
        </w:rPr>
      </w:pPr>
      <w:r>
        <w:rPr>
          <w:rFonts w:ascii="SimHei" w:hAnsi="SimHei" w:eastAsia="黑体" w:cs="SimHei"/>
          <w:b/>
          <w:bCs/>
          <w:sz w:val="24"/>
          <w:szCs w:val="24"/>
        </w:rPr>
        <w:t>第五条　争议解决</w:t>
      </w:r>
    </w:p>
    <w:p>
      <w:pPr>
        <w:pStyle w:val="Normal"/>
        <w:tabs>
          <w:tab w:val="clear" w:pos="420"/>
          <w:tab w:val="left" w:pos="5820" w:leader="none"/>
        </w:tabs>
        <w:spacing w:lineRule="auto" w:line="360"/>
        <w:ind w:firstLine="480"/>
        <w:rPr>
          <w:rFonts w:ascii="SimHei" w:hAnsi="SimHei" w:eastAsia="黑体" w:cs="SimHei"/>
          <w:sz w:val="24"/>
          <w:szCs w:val="24"/>
        </w:rPr>
      </w:pPr>
      <w:r>
        <w:rPr>
          <w:rFonts w:ascii="SimHei" w:hAnsi="SimHei" w:eastAsia="黑体" w:cs="SimHei"/>
          <w:sz w:val="24"/>
          <w:szCs w:val="24"/>
        </w:rPr>
        <w:t>因履行本合发生的争议，由争议双方协商解决，协商不成的，依法可以向合同签订地人民法院起诉。</w:t>
      </w:r>
    </w:p>
    <w:p>
      <w:pPr>
        <w:pStyle w:val="Normal"/>
        <w:spacing w:lineRule="auto" w:line="360"/>
        <w:ind w:firstLine="480"/>
        <w:rPr>
          <w:rFonts w:ascii="SimHei" w:hAnsi="SimHei" w:eastAsia="黑体" w:cs="SimHei"/>
          <w:b/>
          <w:b/>
          <w:bCs/>
          <w:sz w:val="24"/>
          <w:szCs w:val="24"/>
        </w:rPr>
      </w:pPr>
      <w:r>
        <w:rPr>
          <w:rFonts w:ascii="SimHei" w:hAnsi="SimHei" w:eastAsia="黑体" w:cs="SimHei"/>
          <w:b/>
          <w:bCs/>
          <w:sz w:val="24"/>
          <w:szCs w:val="24"/>
        </w:rPr>
        <w:t>第六条　其他</w:t>
      </w:r>
    </w:p>
    <w:p>
      <w:pPr>
        <w:pStyle w:val="Normal"/>
        <w:tabs>
          <w:tab w:val="clear" w:pos="420"/>
          <w:tab w:val="left" w:pos="5820" w:leader="none"/>
        </w:tabs>
        <w:spacing w:lineRule="auto" w:line="360"/>
        <w:ind w:firstLine="480"/>
        <w:rPr>
          <w:rFonts w:ascii="SimHei" w:hAnsi="SimHei" w:eastAsia="黑体" w:cs="SimHei"/>
          <w:sz w:val="24"/>
          <w:szCs w:val="24"/>
        </w:rPr>
      </w:pPr>
      <w:r>
        <w:rPr>
          <w:rFonts w:ascii="SimHei" w:hAnsi="SimHei" w:eastAsia="黑体" w:cs="SimHei"/>
          <w:sz w:val="24"/>
          <w:szCs w:val="24"/>
        </w:rPr>
        <w:t>1</w:t>
      </w:r>
      <w:r>
        <w:rPr>
          <w:rFonts w:ascii="SimHei" w:hAnsi="SimHei" w:eastAsia="黑体" w:cs="SimHei"/>
          <w:sz w:val="24"/>
          <w:szCs w:val="24"/>
        </w:rPr>
        <w:t>、协议经双方法定代表或授权代表签字并加盖公章后生效。本协议一式两份，具有同等法律效力，甲乙双方各执一份。</w:t>
      </w:r>
    </w:p>
    <w:p>
      <w:pPr>
        <w:pStyle w:val="Normal"/>
        <w:tabs>
          <w:tab w:val="clear" w:pos="420"/>
          <w:tab w:val="left" w:pos="5820" w:leader="none"/>
        </w:tabs>
        <w:spacing w:lineRule="auto" w:line="360"/>
        <w:ind w:firstLine="480"/>
        <w:rPr>
          <w:rFonts w:ascii="SimHei" w:hAnsi="SimHei" w:eastAsia="黑体" w:cs="SimHei"/>
          <w:sz w:val="24"/>
          <w:szCs w:val="24"/>
        </w:rPr>
      </w:pPr>
      <w:r>
        <w:rPr>
          <w:rFonts w:ascii="SimHei" w:hAnsi="SimHei" w:eastAsia="黑体" w:cs="SimHei"/>
          <w:sz w:val="24"/>
          <w:szCs w:val="24"/>
        </w:rPr>
        <w:t>2</w:t>
      </w:r>
      <w:r>
        <w:rPr>
          <w:rFonts w:ascii="SimHei" w:hAnsi="SimHei" w:eastAsia="黑体" w:cs="SimHei"/>
          <w:sz w:val="24"/>
          <w:szCs w:val="24"/>
        </w:rPr>
        <w:t>、本协议未尽事宜，可由双方补充约定后作为附件，与本协议具有同等法律效力。对本协议的变更应当以书面形式进行。</w:t>
      </w:r>
    </w:p>
    <w:p>
      <w:pPr>
        <w:pStyle w:val="Normal"/>
        <w:tabs>
          <w:tab w:val="clear" w:pos="420"/>
          <w:tab w:val="left" w:pos="5820" w:leader="none"/>
        </w:tabs>
        <w:spacing w:lineRule="auto" w:line="360"/>
        <w:ind w:firstLine="480"/>
        <w:rPr>
          <w:rFonts w:ascii="SimHei" w:hAnsi="SimHei" w:eastAsia="黑体" w:cs="SimHei"/>
          <w:sz w:val="24"/>
          <w:szCs w:val="24"/>
        </w:rPr>
      </w:pPr>
      <w:r>
        <w:rPr>
          <w:rFonts w:ascii="SimHei" w:hAnsi="SimHei" w:eastAsia="黑体" w:cs="SimHei"/>
          <w:sz w:val="24"/>
          <w:szCs w:val="24"/>
        </w:rPr>
      </w:r>
    </w:p>
    <w:p>
      <w:pPr>
        <w:pStyle w:val="Normal"/>
        <w:tabs>
          <w:tab w:val="clear" w:pos="420"/>
          <w:tab w:val="left" w:pos="5820" w:leader="none"/>
        </w:tabs>
        <w:spacing w:lineRule="auto" w:line="360"/>
        <w:ind w:firstLine="480"/>
        <w:rPr>
          <w:rFonts w:ascii="SimHei" w:hAnsi="SimHei" w:eastAsia="黑体" w:cs="SimHei"/>
          <w:sz w:val="24"/>
          <w:szCs w:val="24"/>
        </w:rPr>
      </w:pPr>
      <w:r>
        <w:rPr>
          <w:rFonts w:ascii="SimHei" w:hAnsi="SimHei" w:eastAsia="黑体" w:cs="SimHei"/>
          <w:sz w:val="24"/>
          <w:szCs w:val="24"/>
        </w:rPr>
        <w:t>甲方：</w:t>
      </w:r>
    </w:p>
    <w:p>
      <w:pPr>
        <w:pStyle w:val="Normal"/>
        <w:tabs>
          <w:tab w:val="clear" w:pos="420"/>
          <w:tab w:val="left" w:pos="5820" w:leader="none"/>
        </w:tabs>
        <w:spacing w:lineRule="auto" w:line="360"/>
        <w:ind w:firstLine="960"/>
        <w:rPr>
          <w:rFonts w:ascii="SimHei" w:hAnsi="SimHei" w:eastAsia="黑体" w:cs="SimHei"/>
          <w:sz w:val="24"/>
          <w:szCs w:val="24"/>
        </w:rPr>
      </w:pPr>
      <w:r>
        <w:rPr>
          <w:rFonts w:ascii="SimHei" w:hAnsi="SimHei" w:eastAsia="黑体" w:cs="SimHei"/>
          <w:sz w:val="24"/>
          <w:szCs w:val="24"/>
        </w:rPr>
        <w:t>年　　月　　日</w:t>
      </w:r>
    </w:p>
    <w:p>
      <w:pPr>
        <w:pStyle w:val="Normal"/>
        <w:tabs>
          <w:tab w:val="clear" w:pos="420"/>
          <w:tab w:val="left" w:pos="5820" w:leader="none"/>
        </w:tabs>
        <w:spacing w:lineRule="auto" w:line="360"/>
        <w:ind w:firstLine="480"/>
        <w:rPr>
          <w:rFonts w:ascii="SimHei" w:hAnsi="SimHei" w:eastAsia="黑体" w:cs="SimHei"/>
          <w:sz w:val="24"/>
          <w:szCs w:val="24"/>
        </w:rPr>
      </w:pPr>
      <w:r>
        <w:rPr>
          <w:rFonts w:ascii="SimHei" w:hAnsi="SimHei" w:eastAsia="黑体" w:cs="SimHei"/>
          <w:sz w:val="24"/>
          <w:szCs w:val="24"/>
        </w:rPr>
      </w:r>
    </w:p>
    <w:p>
      <w:pPr>
        <w:pStyle w:val="Normal"/>
        <w:tabs>
          <w:tab w:val="clear" w:pos="420"/>
          <w:tab w:val="left" w:pos="5820" w:leader="none"/>
        </w:tabs>
        <w:spacing w:lineRule="auto" w:line="360"/>
        <w:ind w:firstLine="480"/>
        <w:rPr>
          <w:rFonts w:ascii="SimHei" w:hAnsi="SimHei" w:eastAsia="黑体" w:cs="SimHei"/>
          <w:sz w:val="24"/>
          <w:szCs w:val="24"/>
        </w:rPr>
      </w:pPr>
      <w:r>
        <w:rPr>
          <w:rFonts w:ascii="SimHei" w:hAnsi="SimHei" w:eastAsia="黑体" w:cs="SimHei"/>
          <w:sz w:val="24"/>
          <w:szCs w:val="24"/>
        </w:rPr>
        <w:t>乙方：</w:t>
      </w:r>
    </w:p>
    <w:p>
      <w:pPr>
        <w:pStyle w:val="Normal"/>
        <w:spacing w:lineRule="auto" w:line="360"/>
        <w:ind w:firstLine="960"/>
        <w:rPr>
          <w:rFonts w:ascii="SimHei" w:hAnsi="SimHei" w:eastAsia="黑体" w:cs="SimHei"/>
          <w:sz w:val="24"/>
          <w:szCs w:val="24"/>
        </w:rPr>
      </w:pPr>
      <w:r>
        <w:rPr>
          <w:rFonts w:ascii="SimHei" w:hAnsi="SimHei" w:eastAsia="黑体" w:cs="SimHei"/>
          <w:sz w:val="24"/>
          <w:szCs w:val="24"/>
        </w:rPr>
        <w:t>年　　月　　日</w:t>
      </w:r>
    </w:p>
    <w:p>
      <w:pPr>
        <w:pStyle w:val="Normal"/>
        <w:spacing w:lineRule="auto" w:line="360"/>
        <w:ind w:firstLine="960"/>
        <w:rPr>
          <w:rFonts w:ascii="SimHei" w:hAnsi="SimHei" w:eastAsia="黑体" w:cs="SimHei"/>
          <w:sz w:val="24"/>
          <w:szCs w:val="24"/>
        </w:rPr>
      </w:pPr>
      <w:r>
        <w:rPr>
          <w:rFonts w:ascii="SimHei" w:hAnsi="SimHei" w:eastAsia="黑体" w:cs="SimHei"/>
          <w:sz w:val="24"/>
          <w:szCs w:val="24"/>
        </w:rPr>
      </w:r>
    </w:p>
    <w:p>
      <w:pPr>
        <w:pStyle w:val="Normal"/>
        <w:spacing w:lineRule="auto" w:line="360"/>
        <w:ind w:firstLine="960"/>
        <w:rPr>
          <w:rFonts w:ascii="SimHei" w:hAnsi="SimHei" w:eastAsia="黑体" w:cs="SimHei"/>
          <w:sz w:val="24"/>
          <w:szCs w:val="24"/>
        </w:rPr>
      </w:pPr>
      <w:r>
        <w:rPr>
          <w:rFonts w:ascii="SimHei" w:hAnsi="SimHei" w:eastAsia="黑体" w:cs="SimHei"/>
          <w:sz w:val="24"/>
          <w:szCs w:val="24"/>
        </w:rPr>
      </w:r>
    </w:p>
    <w:p>
      <w:pPr>
        <w:pStyle w:val="Normal"/>
        <w:spacing w:lineRule="auto" w:line="360"/>
        <w:ind w:firstLine="960"/>
        <w:rPr>
          <w:rFonts w:ascii="SimHei" w:hAnsi="SimHei" w:eastAsia="黑体" w:cs="SimHei"/>
          <w:sz w:val="24"/>
          <w:szCs w:val="24"/>
        </w:rPr>
      </w:pPr>
      <w:r>
        <w:rPr>
          <w:rFonts w:ascii="SimHei" w:hAnsi="SimHei" w:eastAsia="黑体" w:cs="SimHei"/>
          <w:sz w:val="24"/>
          <w:szCs w:val="24"/>
        </w:rPr>
      </w:r>
    </w:p>
    <w:p>
      <w:pPr>
        <w:pStyle w:val="Normal"/>
        <w:spacing w:lineRule="auto" w:line="360"/>
        <w:ind w:firstLine="1440"/>
        <w:rPr>
          <w:rFonts w:ascii="SimHei" w:hAnsi="SimHei" w:eastAsia="黑体" w:cs="SimHei"/>
          <w:sz w:val="24"/>
          <w:szCs w:val="24"/>
        </w:rPr>
      </w:pPr>
      <w:r>
        <w:rPr>
          <w:rFonts w:ascii="SimHei" w:hAnsi="SimHei" w:eastAsia="黑体" w:cs="SimHei"/>
          <w:rFonts w:ascii="SimHei" w:hAnsi="SimHei" w:eastAsia="黑体" w:cs="SimHei"/>
          <w:sz w:val="24"/>
          <w:szCs w:val="24"/>
        </w:rPr>
      </w:r>
    </w:p>
    <w:sectPr>
      <w:footerReference w:type="default" r:id="rId3"/>
      <w:type w:val="nextPage"/>
      <w:pgSz w:w="11906" w:h="16838"/>
      <w:pgMar w:left="1080" w:right="1080" w:header="0"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altName w:val="Helvetica Neue"/>
    <w:charset w:val="00" w:characterSet="windows-1252"/>
    <w:family w:val="swiss"/>
    <w:pitch w:val="default"/>
  </w:font>
  <w:font w:name="Liberation Sans">
    <w:altName w:val="Arial"/>
    <w:charset w:val="01" w:characterSet="utf-8"/>
    <w:family w:val="swiss"/>
    <w:pitch w:val="variable"/>
  </w:font>
  <w:font w:name="微软雅黑">
    <w:altName w:val="汉仪旗黑"/>
    <w:charset w:val="00" w:characterSet="windows-1252"/>
    <w:family w:val="swiss"/>
    <w:pitch w:val="default"/>
  </w:font>
  <w:font w:name="宋体">
    <w:altName w:val="汉仪书宋二KW"/>
    <w:charset w:val="00" w:characterSet="windows-125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rFonts w:ascii="SimHei" w:hAnsi="SimHei" w:eastAsia="黑体" w:cs="SimHei"/>
      </w:rPr>
    </w:pPr>
    <w:r>
      <w:rPr>
        <w:rFonts w:ascii="SimHei" w:hAnsi="SimHei" w:eastAsia="黑体" w:cs="SimHei"/>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rFonts w:ascii="SimHei" w:hAnsi="SimHei" w:eastAsia="黑体" w:cs="SimHei"/>
      </w:rPr>
    </w:pPr>
    <w:r>
      <w:rPr>
        <w:rFonts w:ascii="SimHei" w:hAnsi="SimHei" w:eastAsia="黑体" w:cs="SimHei"/>
      </w:rPr>
    </w:r>
  </w:p>
</w:ftr>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2"/>
      <w:lang w:val="en-US" w:eastAsia="zh-CN" w:bidi="ar-SA"/>
    </w:rPr>
  </w:style>
  <w:style w:type="character" w:styleId="Style14">
    <w:name w:val="默认段落字体"/>
    <w:qFormat/>
    <w:rPr/>
  </w:style>
  <w:style w:type="character" w:styleId="Char">
    <w:name w:val="批注文字 Char"/>
    <w:basedOn w:val="Style14"/>
    <w:qFormat/>
    <w:rPr>
      <w:kern w:val="2"/>
      <w:sz w:val="21"/>
      <w:szCs w:val="22"/>
    </w:rPr>
  </w:style>
  <w:style w:type="character" w:styleId="Char1">
    <w:name w:val="批注框文本 Char"/>
    <w:basedOn w:val="Style14"/>
    <w:qFormat/>
    <w:rPr>
      <w:kern w:val="2"/>
      <w:sz w:val="18"/>
      <w:szCs w:val="18"/>
    </w:rPr>
  </w:style>
  <w:style w:type="character" w:styleId="Char2">
    <w:name w:val="页脚 Char"/>
    <w:basedOn w:val="Style14"/>
    <w:qFormat/>
    <w:rPr>
      <w:kern w:val="2"/>
      <w:sz w:val="18"/>
      <w:szCs w:val="18"/>
    </w:rPr>
  </w:style>
  <w:style w:type="character" w:styleId="Char3">
    <w:name w:val="页眉 Char"/>
    <w:basedOn w:val="Style14"/>
    <w:qFormat/>
    <w:rPr>
      <w:kern w:val="2"/>
      <w:sz w:val="18"/>
      <w:szCs w:val="18"/>
    </w:rPr>
  </w:style>
  <w:style w:type="character" w:styleId="Char4">
    <w:name w:val="批注主题 Char"/>
    <w:basedOn w:val="Char"/>
    <w:qFormat/>
    <w:rPr>
      <w:b/>
      <w:bCs/>
    </w:rPr>
  </w:style>
  <w:style w:type="character" w:styleId="InternetLink">
    <w:name w:val="Hyperlink"/>
    <w:rPr>
      <w:color w:val="0000FF"/>
      <w:u w:val="single"/>
    </w:rPr>
  </w:style>
  <w:style w:type="character" w:styleId="Style15">
    <w:name w:val="批注引用"/>
    <w:basedOn w:val="Style14"/>
    <w:qFormat/>
    <w:rPr>
      <w:sz w:val="21"/>
      <w:szCs w:val="21"/>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Fonts w:ascii="SimHei" w:hAnsi="SimHei" w:eastAsia="黑体" w:cs="SimHei"/>
    </w:rPr>
  </w:style>
  <w:style w:type="paragraph" w:styleId="Style16">
    <w:name w:val="批注文字"/>
    <w:basedOn w:val="Normal"/>
    <w:qFormat/>
    <w:pPr>
      <w:jc w:val="start"/>
    </w:pPr>
    <w:rPr>
      <w:rFonts w:ascii="SimHei" w:hAnsi="SimHei" w:eastAsia="黑体" w:cs="SimHei"/>
    </w:rPr>
  </w:style>
  <w:style w:type="paragraph" w:styleId="Style17">
    <w:name w:val="批注框文本"/>
    <w:basedOn w:val="Normal"/>
    <w:qFormat/>
    <w:pPr/>
    <w:rPr>
      <w:rFonts w:ascii="SimHei" w:hAnsi="SimHei" w:eastAsia="黑体" w:cs="SimHei"/>
      <w:sz w:val="18"/>
      <w:szCs w:val="18"/>
    </w:rPr>
  </w:style>
  <w:style w:type="paragraph" w:styleId="HeaderandFooter">
    <w:name w:val="Header and Footer"/>
    <w:basedOn w:val="Normal"/>
    <w:qFormat/>
    <w:pPr>
      <w:suppressLineNumbers/>
      <w:tabs>
        <w:tab w:val="clear" w:pos="420"/>
        <w:tab w:val="center" w:pos="4986" w:leader="none"/>
        <w:tab w:val="right" w:pos="9972" w:leader="none"/>
      </w:tabs>
    </w:pPr>
    <w:rPr>
      <w:rFonts w:ascii="SimHei" w:hAnsi="SimHei" w:eastAsia="黑体" w:cs="SimHei"/>
    </w:rPr>
  </w:style>
  <w:style w:type="paragraph" w:styleId="Footer">
    <w:name w:val="Footer"/>
    <w:basedOn w:val="Normal"/>
    <w:pPr>
      <w:tabs>
        <w:tab w:val="clear" w:pos="420"/>
        <w:tab w:val="center" w:pos="4153" w:leader="none"/>
        <w:tab w:val="right" w:pos="8306" w:leader="none"/>
      </w:tabs>
      <w:snapToGrid w:val="false"/>
      <w:jc w:val="start"/>
    </w:pPr>
    <w:rPr>
      <w:rFonts w:ascii="SimHei" w:hAnsi="SimHei" w:eastAsia="黑体" w:cs="SimHei"/>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rFonts w:ascii="SimHei" w:hAnsi="SimHei" w:eastAsia="黑体" w:cs="SimHei"/>
      <w:sz w:val="18"/>
      <w:szCs w:val="18"/>
    </w:rPr>
  </w:style>
  <w:style w:type="paragraph" w:styleId="Style18">
    <w:name w:val="批注主题"/>
    <w:basedOn w:val="Style16"/>
    <w:next w:val="Style16"/>
    <w:qFormat/>
    <w:pPr/>
    <w:rPr>
      <w:rFonts w:ascii="SimHei" w:hAnsi="SimHei" w:eastAsia="黑体" w:cs="SimHei"/>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22560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2018-07-16T23:12:00Z</dcterms:created>
  <dc:creator>易法通律师风险提示</dc:creator>
  <dc:description/>
  <dc:language>en-US</dc:language>
  <cp:lastModifiedBy>稿定办公</cp:lastModifiedBy>
  <dcterms:modified xsi:type="dcterms:W3CDTF">2023-03-07T09:17:31Z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D92B04F08C72B053D257FC63CE1E29BF</vt:lpwstr>
  </property>
  <property fmtid="{D5CDD505-2E9C-101B-9397-08002B2CF9AE}" pid="3" name="KSOProductBuildVer">
    <vt:lpwstr>2052-5.2.1.7798</vt:lpwstr>
  </property>
</Properties>
</file>