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jc w:val="center"/>
        <w:rPr>
          <w:rFonts w:ascii="SimHei" w:hAnsi="SimHei" w:eastAsia="黑体" w:cs="SimHei"/>
          <w:b/>
          <w:b/>
          <w:bCs/>
          <w:sz w:val="24"/>
          <w:szCs w:val="21"/>
        </w:rPr>
      </w:pPr>
      <w:r>
        <w:rPr>
          <w:rFonts w:ascii="SimHei" w:hAnsi="SimHei" w:eastAsia="黑体" w:cs="SimHei"/>
          <w:b/>
          <w:bCs/>
          <w:sz w:val="24"/>
          <w:szCs w:val="21"/>
        </w:rPr>
      </w:r>
    </w:p>
    <w:p>
      <w:pPr>
        <w:pStyle w:val="Normal"/>
        <w:jc w:val="center"/>
        <w:rPr>
          <w:rFonts w:ascii="SimHei" w:hAnsi="SimHei" w:eastAsia="黑体" w:cs="SimHei"/>
          <w:b/>
          <w:b/>
          <w:bCs/>
          <w:color w:val="FF0000"/>
          <w:sz w:val="108"/>
          <w:szCs w:val="108"/>
        </w:rPr>
      </w:pPr>
      <w:r>
        <w:rPr>
          <w:rFonts w:ascii="SimHei" w:hAnsi="SimHei" w:eastAsia="黑体" w:cs="SimHei"/>
          <w:b/>
          <w:color w:val="404040"/>
          <w:sz w:val="108"/>
          <w:szCs w:val="108"/>
          <w:lang w:val="en-US" w:eastAsia="zh-CN"/>
        </w:rPr>
        <w:t>竞业限制</w:t>
      </w:r>
      <w:r>
        <w:rPr>
          <w:rFonts w:ascii="SimHei" w:hAnsi="SimHei" w:eastAsia="黑体" w:cs="SimHei"/>
          <w:b/>
          <w:color w:val="404040"/>
          <w:sz w:val="108"/>
          <w:szCs w:val="108"/>
        </w:rPr>
        <w:t>协议</w:t>
      </w:r>
    </w:p>
    <w:p>
      <w:pPr>
        <w:pStyle w:val="Normal"/>
        <w:jc w:val="center"/>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t>（律师</w:t>
      </w:r>
      <w:r>
        <w:rPr>
          <w:rFonts w:ascii="SimHei" w:hAnsi="SimHei" w:eastAsia="黑体" w:cs="SimHei"/>
          <w:b/>
          <w:bCs/>
          <w:color w:val="C00000"/>
          <w:sz w:val="52"/>
          <w:szCs w:val="52"/>
          <w:lang w:val="en-US" w:eastAsia="zh-CN"/>
        </w:rPr>
        <w:t>拟定</w:t>
      </w:r>
      <w:r>
        <w:rPr>
          <w:rFonts w:ascii="SimHei" w:hAnsi="SimHei" w:eastAsia="黑体" w:cs="SimHei"/>
          <w:b/>
          <w:bCs/>
          <w:color w:val="C00000"/>
          <w:sz w:val="52"/>
          <w:szCs w:val="52"/>
        </w:rPr>
        <w:t>，风险提示）</w:t>
      </w:r>
    </w:p>
    <w:p>
      <w:pPr>
        <w:pStyle w:val="Normal"/>
        <w:spacing w:lineRule="auto" w:line="360"/>
        <w:jc w:val="center"/>
        <w:rPr>
          <w:rFonts w:ascii="SimHei" w:hAnsi="SimHei" w:eastAsia="黑体" w:cs="SimHei"/>
          <w:b/>
          <w:b/>
          <w:bCs/>
          <w:color w:val="C00000"/>
          <w:sz w:val="24"/>
          <w:szCs w:val="24"/>
        </w:rPr>
      </w:pPr>
      <w:r>
        <w:rPr>
          <w:rFonts w:ascii="SimHei" w:hAnsi="SimHei" w:eastAsia="黑体" w:cs="SimHei"/>
          <w:b/>
          <w:bCs/>
          <w:color w:val="C00000"/>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center"/>
        <w:rPr>
          <w:rFonts w:ascii="SimHei" w:hAnsi="SimHei" w:eastAsia="黑体" w:cs="SimHei"/>
          <w:b/>
          <w:b/>
          <w:sz w:val="24"/>
          <w:szCs w:val="24"/>
        </w:rPr>
      </w:pPr>
      <w:r>
        <w:rPr>
          <w:rFonts w:ascii="SimHei" w:hAnsi="SimHei" w:eastAsia="黑体" w:cs="SimHei"/>
          <w:b/>
          <w:sz w:val="24"/>
          <w:szCs w:val="24"/>
        </w:rPr>
      </w:r>
    </w:p>
    <w:p>
      <w:pPr>
        <w:pStyle w:val="Normal"/>
        <w:spacing w:lineRule="auto" w:line="360"/>
        <w:jc w:val="both"/>
        <w:rPr>
          <w:rFonts w:ascii="SimHei" w:hAnsi="SimHei" w:eastAsia="黑体" w:cs="SimHei"/>
          <w:b/>
          <w:b/>
          <w:sz w:val="24"/>
          <w:szCs w:val="24"/>
        </w:rPr>
      </w:pPr>
      <w:r>
        <w:rPr>
          <w:rFonts w:ascii="SimHei" w:hAnsi="SimHei" w:eastAsia="黑体" w:cs="SimHei"/>
          <w:b/>
          <w:sz w:val="24"/>
          <w:szCs w:val="24"/>
        </w:rPr>
      </w:r>
    </w:p>
    <w:p>
      <w:pPr>
        <w:pStyle w:val="Normal"/>
        <w:spacing w:lineRule="auto" w:line="360"/>
        <w:jc w:val="both"/>
        <w:rPr>
          <w:rFonts w:ascii="SimHei" w:hAnsi="SimHei" w:eastAsia="黑体" w:cs="SimHei"/>
          <w:b/>
          <w:b/>
          <w:sz w:val="24"/>
          <w:szCs w:val="24"/>
        </w:rPr>
      </w:pPr>
      <w:r>
        <w:rPr>
          <w:rFonts w:ascii="SimHei" w:hAnsi="SimHei" w:eastAsia="黑体" w:cs="SimHei"/>
          <w:b/>
          <w:sz w:val="24"/>
          <w:szCs w:val="24"/>
        </w:rPr>
      </w:r>
    </w:p>
    <w:p>
      <w:pPr>
        <w:pStyle w:val="Normal"/>
        <w:snapToGrid w:val="false"/>
        <w:spacing w:lineRule="auto" w:line="360"/>
        <w:jc w:val="center"/>
        <w:rPr>
          <w:rFonts w:ascii="SimHei" w:hAnsi="SimHei" w:eastAsia="黑体" w:cs="SimHei"/>
          <w:sz w:val="24"/>
          <w:szCs w:val="24"/>
        </w:rPr>
      </w:pPr>
      <w:r>
        <w:rPr>
          <w:rFonts w:ascii="SimHei" w:hAnsi="SimHei" w:eastAsia="黑体" w:cs="SimHei"/>
          <w:b/>
          <w:bCs/>
          <w:color w:val="0070C0"/>
          <w:sz w:val="44"/>
          <w:szCs w:val="44"/>
        </w:rPr>
        <w:t>竞业限制协议</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r>
    </w:p>
    <w:p>
      <w:pPr>
        <w:pStyle w:val="Normal"/>
        <w:widowControl/>
        <w:spacing w:lineRule="exact" w:line="300"/>
        <w:jc w:val="start"/>
        <w:rPr>
          <w:rFonts w:ascii="SimHei" w:hAnsi="SimHei" w:eastAsia="黑体" w:cs="SimHei"/>
          <w:b/>
          <w:b/>
          <w:spacing w:val="8"/>
          <w:kern w:val="0"/>
          <w:sz w:val="24"/>
          <w:u w:val="single"/>
        </w:rPr>
      </w:pPr>
      <w:r>
        <w:rPr>
          <w:rFonts w:ascii="SimHei" w:hAnsi="SimHei" w:eastAsia="黑体" w:cs="SimHei"/>
          <w:b/>
          <w:spacing w:val="8"/>
          <w:kern w:val="0"/>
          <w:sz w:val="24"/>
        </w:rPr>
        <w:t>甲</w:t>
      </w:r>
      <w:r>
        <w:rPr>
          <w:rFonts w:ascii="SimHei" w:hAnsi="SimHei" w:eastAsia="黑体" w:cs="SimHei"/>
          <w:b/>
          <w:spacing w:val="8"/>
          <w:kern w:val="0"/>
          <w:sz w:val="24"/>
        </w:rPr>
        <w:t>方</w:t>
      </w:r>
      <w:r>
        <w:rPr>
          <w:rFonts w:ascii="SimHei" w:hAnsi="SimHei" w:eastAsia="黑体" w:cs="SimHei"/>
          <w:b/>
          <w:spacing w:val="8"/>
          <w:kern w:val="0"/>
          <w:sz w:val="24"/>
        </w:rPr>
        <w:t>（用人单位）</w:t>
      </w:r>
      <w:r>
        <w:rPr>
          <w:rFonts w:ascii="SimHei" w:hAnsi="SimHei" w:eastAsia="黑体" w:cs="SimHei"/>
          <w:b/>
          <w:spacing w:val="8"/>
          <w:kern w:val="0"/>
          <w:sz w:val="24"/>
        </w:rPr>
        <w:t>：</w:t>
      </w:r>
      <w:r>
        <w:rPr>
          <w:rFonts w:ascii="SimHei" w:hAnsi="SimHei" w:eastAsia="黑体" w:cs="SimHei"/>
          <w:b/>
          <w:spacing w:val="8"/>
          <w:kern w:val="0"/>
          <w:sz w:val="24"/>
          <w:u w:val="single"/>
        </w:rPr>
        <w:t xml:space="preserve">                                         </w:t>
      </w:r>
    </w:p>
    <w:p>
      <w:pPr>
        <w:pStyle w:val="Style18"/>
        <w:spacing w:lineRule="exact" w:line="300"/>
        <w:ind w:hanging="0"/>
        <w:rPr>
          <w:color w:val="333333"/>
          <w:sz w:val="24"/>
          <w:szCs w:val="24"/>
        </w:rPr>
      </w:pPr>
      <w:r>
        <w:rPr>
          <w:color w:val="333333"/>
          <w:sz w:val="24"/>
          <w:szCs w:val="24"/>
        </w:rPr>
        <w:t>法定地址：</w:t>
      </w:r>
      <w:r>
        <w:rPr>
          <w:rFonts w:ascii="SimHei" w:hAnsi="SimHei" w:eastAsia="黑体" w:cs="SimHei"/>
          <w:b/>
          <w:spacing w:val="8"/>
          <w:kern w:val="0"/>
          <w:sz w:val="24"/>
          <w:u w:val="single"/>
        </w:rPr>
        <w:t xml:space="preserve">                                          </w:t>
      </w:r>
      <w:r>
        <w:rPr>
          <w:rFonts w:ascii="SimHei" w:hAnsi="SimHei" w:eastAsia="黑体" w:cs="SimHei"/>
          <w:b/>
          <w:spacing w:val="8"/>
          <w:kern w:val="0"/>
          <w:sz w:val="24"/>
          <w:u w:val="single"/>
        </w:rPr>
        <w:t xml:space="preserve">       </w:t>
      </w:r>
    </w:p>
    <w:p>
      <w:pPr>
        <w:pStyle w:val="Style18"/>
        <w:spacing w:lineRule="exact" w:line="300"/>
        <w:ind w:hanging="0"/>
        <w:rPr>
          <w:color w:val="333333"/>
          <w:sz w:val="24"/>
          <w:szCs w:val="24"/>
        </w:rPr>
      </w:pPr>
      <w:r>
        <w:rPr>
          <w:color w:val="333333"/>
          <w:sz w:val="24"/>
          <w:szCs w:val="24"/>
        </w:rPr>
        <w:t>法定代表人：</w:t>
      </w:r>
      <w:r>
        <w:rPr>
          <w:rFonts w:ascii="SimHei" w:hAnsi="SimHei" w:eastAsia="黑体" w:cs="SimHei"/>
          <w:b/>
          <w:spacing w:val="8"/>
          <w:kern w:val="0"/>
          <w:sz w:val="24"/>
          <w:u w:val="single"/>
        </w:rPr>
        <w:t xml:space="preserve">          </w:t>
      </w:r>
    </w:p>
    <w:p>
      <w:pPr>
        <w:pStyle w:val="Normal"/>
        <w:widowControl/>
        <w:spacing w:lineRule="exact" w:line="300"/>
        <w:jc w:val="start"/>
        <w:rPr>
          <w:rFonts w:ascii="SimHei" w:hAnsi="SimHei" w:eastAsia="黑体" w:cs="SimHei"/>
          <w:b/>
          <w:b/>
          <w:color w:val="333333"/>
          <w:spacing w:val="8"/>
          <w:kern w:val="0"/>
          <w:sz w:val="24"/>
          <w:szCs w:val="24"/>
        </w:rPr>
      </w:pPr>
      <w:r>
        <w:rPr>
          <w:rFonts w:ascii="SimHei" w:hAnsi="SimHei" w:eastAsia="黑体" w:cs="SimHei"/>
          <w:b/>
          <w:color w:val="333333"/>
          <w:spacing w:val="8"/>
          <w:kern w:val="0"/>
          <w:sz w:val="24"/>
          <w:szCs w:val="24"/>
        </w:rPr>
      </w:r>
    </w:p>
    <w:p>
      <w:pPr>
        <w:pStyle w:val="Normal"/>
        <w:widowControl/>
        <w:spacing w:lineRule="exact" w:line="300"/>
        <w:jc w:val="start"/>
        <w:rPr>
          <w:rFonts w:ascii="SimHei" w:hAnsi="SimHei" w:eastAsia="黑体" w:cs="SimHei"/>
          <w:b/>
          <w:b/>
          <w:spacing w:val="8"/>
          <w:kern w:val="0"/>
          <w:sz w:val="24"/>
        </w:rPr>
      </w:pPr>
      <w:r>
        <w:rPr>
          <w:rFonts w:ascii="SimHei" w:hAnsi="SimHei" w:eastAsia="黑体" w:cs="SimHei"/>
          <w:b/>
          <w:spacing w:val="8"/>
          <w:kern w:val="0"/>
          <w:sz w:val="24"/>
        </w:rPr>
        <w:t>乙</w:t>
      </w:r>
      <w:r>
        <w:rPr>
          <w:rFonts w:ascii="SimHei" w:hAnsi="SimHei" w:eastAsia="黑体" w:cs="SimHei"/>
          <w:b/>
          <w:spacing w:val="8"/>
          <w:kern w:val="0"/>
          <w:sz w:val="24"/>
        </w:rPr>
        <w:t>方</w:t>
      </w:r>
      <w:r>
        <w:rPr>
          <w:rFonts w:ascii="SimHei" w:hAnsi="SimHei" w:eastAsia="黑体" w:cs="SimHei"/>
          <w:b/>
          <w:spacing w:val="8"/>
          <w:kern w:val="0"/>
          <w:sz w:val="24"/>
        </w:rPr>
        <w:t>（员工）</w:t>
      </w:r>
      <w:r>
        <w:rPr>
          <w:rFonts w:ascii="SimHei" w:hAnsi="SimHei" w:eastAsia="黑体" w:cs="SimHei"/>
          <w:b/>
          <w:spacing w:val="8"/>
          <w:kern w:val="0"/>
          <w:sz w:val="24"/>
        </w:rPr>
        <w:t>：</w:t>
      </w:r>
      <w:r>
        <w:rPr>
          <w:rFonts w:ascii="SimHei" w:hAnsi="SimHei" w:eastAsia="黑体" w:cs="SimHei"/>
          <w:b/>
          <w:spacing w:val="8"/>
          <w:kern w:val="0"/>
          <w:sz w:val="24"/>
          <w:u w:val="single"/>
        </w:rPr>
        <w:t xml:space="preserve">                                          </w:t>
      </w:r>
      <w:r>
        <w:rPr>
          <w:rFonts w:ascii="SimHei" w:hAnsi="SimHei" w:eastAsia="黑体" w:cs="SimHei"/>
          <w:b/>
          <w:spacing w:val="8"/>
          <w:kern w:val="0"/>
          <w:sz w:val="24"/>
          <w:u w:val="single"/>
        </w:rPr>
        <w:t xml:space="preserve">  </w:t>
      </w:r>
      <w:r>
        <w:rPr>
          <w:rFonts w:ascii="SimHei" w:hAnsi="SimHei" w:eastAsia="黑体" w:cs="SimHei"/>
          <w:b/>
          <w:spacing w:val="8"/>
          <w:kern w:val="0"/>
          <w:sz w:val="24"/>
        </w:rPr>
        <w:t xml:space="preserve"> </w:t>
      </w:r>
      <w:r>
        <w:rPr>
          <w:rFonts w:ascii="SimHei" w:hAnsi="SimHei" w:eastAsia="黑体" w:cs="SimHei"/>
          <w:b/>
          <w:spacing w:val="8"/>
          <w:kern w:val="0"/>
          <w:sz w:val="24"/>
        </w:rPr>
        <w:t xml:space="preserve"> </w:t>
      </w:r>
    </w:p>
    <w:p>
      <w:pPr>
        <w:pStyle w:val="Style18"/>
        <w:spacing w:lineRule="exact" w:line="300"/>
        <w:ind w:hanging="0"/>
        <w:rPr>
          <w:color w:val="333333"/>
          <w:sz w:val="24"/>
          <w:szCs w:val="24"/>
          <w:u w:val="single"/>
        </w:rPr>
      </w:pPr>
      <w:r>
        <w:rPr>
          <w:color w:val="333333"/>
          <w:sz w:val="24"/>
          <w:szCs w:val="24"/>
        </w:rPr>
        <w:t>证件号：</w:t>
      </w:r>
      <w:r>
        <w:rPr>
          <w:color w:val="333333"/>
          <w:sz w:val="24"/>
          <w:szCs w:val="24"/>
          <w:u w:val="single"/>
        </w:rPr>
        <w:t xml:space="preserve">                                       </w:t>
      </w:r>
      <w:r>
        <w:rPr>
          <w:color w:val="333333"/>
          <w:sz w:val="24"/>
          <w:szCs w:val="24"/>
          <w:u w:val="single"/>
        </w:rPr>
        <w:t xml:space="preserve">    </w:t>
      </w:r>
      <w:r>
        <w:rPr>
          <w:color w:val="333333"/>
          <w:sz w:val="24"/>
          <w:szCs w:val="24"/>
          <w:u w:val="single"/>
        </w:rPr>
        <w:t xml:space="preserve">    </w:t>
      </w:r>
      <w:r>
        <w:rPr>
          <w:color w:val="333333"/>
          <w:sz w:val="24"/>
          <w:szCs w:val="24"/>
          <w:u w:val="single"/>
        </w:rPr>
        <w:t xml:space="preserve">        </w:t>
      </w:r>
    </w:p>
    <w:p>
      <w:pPr>
        <w:pStyle w:val="Style18"/>
        <w:spacing w:lineRule="exact" w:line="300"/>
        <w:ind w:hanging="0"/>
        <w:rPr>
          <w:rFonts w:ascii="SimHei" w:hAnsi="SimHei" w:eastAsia="黑体" w:cs="SimHei"/>
          <w:b/>
          <w:b/>
          <w:spacing w:val="8"/>
          <w:kern w:val="0"/>
          <w:sz w:val="24"/>
          <w:u w:val="single"/>
        </w:rPr>
      </w:pPr>
      <w:r>
        <w:rPr>
          <w:color w:val="333333"/>
          <w:sz w:val="24"/>
          <w:szCs w:val="24"/>
        </w:rPr>
        <w:t>地址：</w:t>
      </w:r>
      <w:r>
        <w:rPr>
          <w:rFonts w:ascii="SimHei" w:hAnsi="SimHei" w:eastAsia="黑体" w:cs="SimHei"/>
          <w:b/>
          <w:spacing w:val="8"/>
          <w:kern w:val="0"/>
          <w:sz w:val="24"/>
          <w:u w:val="single"/>
        </w:rPr>
        <w:t xml:space="preserve">                                                </w:t>
      </w:r>
      <w:r>
        <w:rPr>
          <w:rFonts w:ascii="SimHei" w:hAnsi="SimHei" w:eastAsia="黑体" w:cs="SimHei"/>
          <w:b/>
          <w:spacing w:val="8"/>
          <w:kern w:val="0"/>
          <w:sz w:val="24"/>
          <w:u w:val="single"/>
        </w:rPr>
        <w:t xml:space="preserve">    </w:t>
      </w:r>
    </w:p>
    <w:p>
      <w:pPr>
        <w:pStyle w:val="Style18"/>
        <w:spacing w:lineRule="exact" w:line="300"/>
        <w:ind w:hanging="0"/>
        <w:rPr>
          <w:color w:val="333333"/>
          <w:sz w:val="24"/>
          <w:szCs w:val="24"/>
        </w:rPr>
      </w:pPr>
      <w:r>
        <w:rPr>
          <w:color w:val="333333"/>
          <w:sz w:val="24"/>
          <w:szCs w:val="24"/>
        </w:rPr>
        <w:t>电话：</w:t>
      </w:r>
      <w:r>
        <w:rPr>
          <w:rFonts w:ascii="SimHei" w:hAnsi="SimHei" w:eastAsia="黑体" w:cs="SimHei"/>
          <w:b/>
          <w:spacing w:val="8"/>
          <w:kern w:val="0"/>
          <w:sz w:val="24"/>
          <w:u w:val="single"/>
        </w:rPr>
        <w:t xml:space="preserve">               </w:t>
      </w:r>
    </w:p>
    <w:p>
      <w:pPr>
        <w:pStyle w:val="Normal"/>
        <w:spacing w:lineRule="auto" w:line="360"/>
        <w:rPr>
          <w:rFonts w:ascii="SimHei" w:hAnsi="SimHei" w:eastAsia="黑体" w:cs="SimHei"/>
          <w:color w:val="FF0000"/>
          <w:sz w:val="24"/>
          <w:szCs w:val="24"/>
          <w:lang w:eastAsia="zh-CN"/>
        </w:rPr>
      </w:pPr>
      <w:r>
        <w:rPr>
          <w:rFonts w:ascii="SimHei" w:hAnsi="SimHei" w:eastAsia="黑体" w:cs="SimHei"/>
          <w:color w:val="FF0000"/>
          <w:sz w:val="24"/>
          <w:szCs w:val="24"/>
          <w:lang w:eastAsia="zh-CN"/>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乙方承认，由于乙方受聘甲方（包括但不限于接受甲方可能不时向其提供的培训），其可能充分接触甲方的保密信息（定义见下文）、并且熟悉甲方的经营、业务和前景及与甲方的客户、供应商和其他与甲方有业务关系的人有广泛的往来；乙方愿意根据本合同规定的条款和条件对保密信息保密并不与甲方及其关联企业相竞争。因此，双方经平等协商，达成合同内容如下：</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第一条　定义</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、“竞争业务”：指甲方或其关联企业从事或计划从事的业务；和与甲方或其关联企业所经营的业务相同、相近或相竞争的其他业务。</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、“竞争对手”：指除甲方或其关联企业外从事竞争业务的任何个人、合伙、合资、独资或其他实体。</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、“区域”：指甲方或其关联企业从事或计划从事其各自业务的地理范围。</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4</w:t>
      </w:r>
      <w:r>
        <w:rPr>
          <w:rFonts w:ascii="SimHei" w:hAnsi="SimHei" w:eastAsia="黑体" w:cs="SimHei"/>
          <w:sz w:val="24"/>
          <w:szCs w:val="24"/>
        </w:rPr>
        <w:t>、“期限”：指乙方受聘于甲方的期限和该期限终止后履行本协议内容的时间。</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5</w:t>
      </w:r>
      <w:r>
        <w:rPr>
          <w:rFonts w:ascii="SimHei" w:hAnsi="SimHei" w:eastAsia="黑体" w:cs="SimHei"/>
          <w:sz w:val="24"/>
          <w:szCs w:val="24"/>
        </w:rPr>
        <w:t>、“保密信息”：指甲方或其关联企业所有或持有的、未公开的、能够给甲方或其关联企业带来经济利益或竞争优势、具有实用性且采取了保密措施的技术信息和经营信息。甲方或其关联企业对第三方，包括但不限于客户、合作伙伴等，负有保密义务的相关保密信息也属于本协议所涉的保密信息。</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6</w:t>
      </w:r>
      <w:r>
        <w:rPr>
          <w:rFonts w:ascii="SimHei" w:hAnsi="SimHei" w:eastAsia="黑体" w:cs="SimHei"/>
          <w:sz w:val="24"/>
          <w:szCs w:val="24"/>
        </w:rPr>
        <w:t>、“关联企业”：指控制甲方的、由甲方控制的或与甲方受到共同控制的任何其他法人。</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第二条　乙方义务</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、在约定期限和区域内不直接或间接地以个人名义或以一个甲方的所有者、许可人、被许可人、本人、代理人、乙方、独立承包商、业主、合伙人、出租人、股东或董事或管理人员的身份或以其他任何名义：</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1</w:t>
      </w:r>
      <w:r>
        <w:rPr>
          <w:rFonts w:ascii="SimHei" w:hAnsi="SimHei" w:eastAsia="黑体" w:cs="SimHei"/>
          <w:sz w:val="24"/>
          <w:szCs w:val="24"/>
        </w:rPr>
        <w:t>）投资或从事甲方业务之外的竞争业务，或成立从事竞争业务的组织；</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2</w:t>
      </w:r>
      <w:r>
        <w:rPr>
          <w:rFonts w:ascii="SimHei" w:hAnsi="SimHei" w:eastAsia="黑体" w:cs="SimHei"/>
          <w:sz w:val="24"/>
          <w:szCs w:val="24"/>
        </w:rPr>
        <w:t>）向竞争对手提供任何服务或披露任何保密信息。</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、在期限内不直接或间接地劝说、引诱、鼓励或以其他方式促使甲方或其关联企业的：</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1</w:t>
      </w:r>
      <w:r>
        <w:rPr>
          <w:rFonts w:ascii="SimHei" w:hAnsi="SimHei" w:eastAsia="黑体" w:cs="SimHei"/>
          <w:sz w:val="24"/>
          <w:szCs w:val="24"/>
        </w:rPr>
        <w:t>）任何管理人员终止与甲方或其关联企业的聘用关系；</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2</w:t>
      </w:r>
      <w:r>
        <w:rPr>
          <w:rFonts w:ascii="SimHei" w:hAnsi="SimHei" w:eastAsia="黑体" w:cs="SimHei"/>
          <w:sz w:val="24"/>
          <w:szCs w:val="24"/>
        </w:rPr>
        <w:t>）任何客户、供应商、被许可人、许可人或与甲方或其关联企业有实际或潜在业务关系的其他人或实体（包括任何潜在的客户、供应商或被许可人等）终止或以其他方式改变与甲方或其关联企业的业务关系。</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、乙方承诺，其未签订过且不会签订任何与本合同条款相冲突的书面或口头合同。</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4</w:t>
      </w:r>
      <w:r>
        <w:rPr>
          <w:rFonts w:ascii="SimHei" w:hAnsi="SimHei" w:eastAsia="黑体" w:cs="SimHei"/>
          <w:sz w:val="24"/>
          <w:szCs w:val="24"/>
        </w:rPr>
        <w:t>、不论因何种原因从甲方离职，离职后</w:t>
      </w:r>
      <w:r>
        <w:rPr>
          <w:rFonts w:ascii="SimHei" w:hAnsi="SimHei" w:eastAsia="黑体" w:cs="SimHei"/>
          <w:sz w:val="24"/>
          <w:szCs w:val="24"/>
        </w:rPr>
        <w:t>_____</w:t>
      </w:r>
      <w:r>
        <w:rPr>
          <w:rFonts w:ascii="SimHei" w:hAnsi="SimHei" w:eastAsia="黑体" w:cs="SimHei"/>
          <w:sz w:val="24"/>
          <w:szCs w:val="24"/>
        </w:rPr>
        <w:t>年内不得到与甲方或其关联企业有竞争关系的单位就职或者从事与甲方或其关联企业保密信息有关的产品的生产。</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第三条　甲方义务</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从双方劳动合同约定的合同履行期限到期或离职后第二天起，甲方应当按照竞业限制期限向乙方支付一定数额的竞业限制补偿费。年经济补偿费的金额为乙方离开甲方单位前一年的工资收入的</w:t>
      </w:r>
      <w:r>
        <w:rPr>
          <w:rFonts w:ascii="SimHei" w:hAnsi="SimHei" w:eastAsia="黑体" w:cs="SimHei"/>
          <w:sz w:val="24"/>
          <w:szCs w:val="24"/>
        </w:rPr>
        <w:t>______%</w:t>
      </w:r>
      <w:r>
        <w:rPr>
          <w:rFonts w:ascii="SimHei" w:hAnsi="SimHei" w:eastAsia="黑体" w:cs="SimHei"/>
          <w:sz w:val="24"/>
          <w:szCs w:val="24"/>
        </w:rPr>
        <w:t>；不满一年的按月平均工资推算。补偿费按月支付，由甲方通过银行支付至乙方指定的银行卡上。如乙方拒绝领取，甲方可以将补偿费向有关方面提存。</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第四条　对价</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乙方在此确认，其将从甲方不时取得的薪金和其他补偿或利益构成其在本合同第二、三条中所作承诺的全部对价。</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第五条　执行</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双方同意在法律允许的范围内最大限度地执行本合同，本合同任何部分的无效、非法或不可执行均不影响或削弱本合同其余部分的有效、合法与可执行性。</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第六条　公平承诺</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双方同意，本合同第二、三条中所作约定的范围和性质是公平合理的，在此约定的时间、地理区域和范围是为保护甲方和其关联企业充分使用其商誉开展经营所必需的。</w:t>
      </w:r>
    </w:p>
    <w:p>
      <w:pPr>
        <w:pStyle w:val="Normal"/>
        <w:spacing w:lineRule="auto" w:line="360"/>
        <w:ind w:firstLine="480"/>
        <w:rPr>
          <w:rFonts w:ascii="SimHei" w:hAnsi="SimHei" w:eastAsia="黑体" w:cs="SimHei"/>
          <w:color w:val="FF0000"/>
          <w:sz w:val="24"/>
          <w:szCs w:val="24"/>
        </w:rPr>
      </w:pPr>
      <w:r>
        <w:rPr>
          <w:rFonts w:ascii="SimHei" w:hAnsi="SimHei" w:eastAsia="黑体" w:cs="SimHei"/>
          <w:b/>
          <w:sz w:val="24"/>
          <w:szCs w:val="24"/>
        </w:rPr>
        <w:t>第七条　违约救济</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乙方承认，其违反本合同将给甲方和／或其关联企业造成无法弥补的损害，并且通过任何诉讼获得的金钱赔偿都不足以充分补偿该等损害。乙方同意，甲方和／或其关联企业有权通过临时限制令、禁止令，对本合同条款的实际履行或其他救济措施来防止对本合同的违反。但本条的规定不应被解释为甲方和／或其关联企业放弃任何获得损害赔偿或其他救济的权利。乙方违反本协议关于竞业限制约定的，需一次性向甲方支付违约金人民币</w:t>
      </w:r>
      <w:r>
        <w:rPr>
          <w:rFonts w:ascii="SimHei" w:hAnsi="SimHei" w:eastAsia="黑体" w:cs="SimHei"/>
          <w:sz w:val="24"/>
          <w:szCs w:val="24"/>
        </w:rPr>
        <w:t>__________</w:t>
      </w:r>
      <w:r>
        <w:rPr>
          <w:rFonts w:ascii="SimHei" w:hAnsi="SimHei" w:eastAsia="黑体" w:cs="SimHei"/>
          <w:sz w:val="24"/>
          <w:szCs w:val="24"/>
        </w:rPr>
        <w:t>元。</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第八条　法律适用</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本合同受中华人民共和国法律管辖，并应根据其进行解释。</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第九条　合同的修改与转让</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、本合同自双方签章之日起生效。非经双方书面同意，本合同不得被修改、补充或变更。</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、乙方不得转让本合同或由本合同产生的任何义务或权益。</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、双方确认，已经仔细审阅过合同的内容，并完全了解合同各条款的法律含义。</w:t>
      </w:r>
    </w:p>
    <w:p>
      <w:pPr>
        <w:pStyle w:val="Normal"/>
        <w:spacing w:lineRule="auto" w:line="360"/>
        <w:ind w:firstLine="480"/>
        <w:rPr>
          <w:rFonts w:ascii="SimHei" w:hAnsi="SimHei" w:eastAsia="黑体" w:cs="SimHei"/>
          <w:b/>
          <w:b/>
          <w:sz w:val="24"/>
          <w:szCs w:val="24"/>
        </w:rPr>
      </w:pPr>
      <w:r>
        <w:rPr>
          <w:rFonts w:ascii="SimHei" w:hAnsi="SimHei" w:eastAsia="黑体" w:cs="SimHei"/>
          <w:b/>
          <w:sz w:val="24"/>
          <w:szCs w:val="24"/>
        </w:rPr>
        <w:t>第十条　文本</w:t>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本合同一式两份，合同双方各执一份，每份合同具有同等法律效力。</w:t>
      </w:r>
    </w:p>
    <w:p>
      <w:pPr>
        <w:pStyle w:val="Normal"/>
        <w:spacing w:lineRule="auto" w:line="360"/>
        <w:jc w:val="center"/>
        <w:rPr>
          <w:rFonts w:ascii="SimHei" w:hAnsi="SimHei" w:eastAsia="黑体" w:cs="SimHei"/>
          <w:sz w:val="24"/>
          <w:szCs w:val="24"/>
        </w:rPr>
      </w:pPr>
      <w:r>
        <w:rPr>
          <w:rFonts w:ascii="SimHei" w:hAnsi="SimHei" w:eastAsia="黑体" w:cs="SimHei"/>
          <w:sz w:val="24"/>
          <w:szCs w:val="24"/>
        </w:rPr>
        <w:t>（以下无正文）</w:t>
      </w:r>
    </w:p>
    <w:p>
      <w:pPr>
        <w:pStyle w:val="Normal"/>
        <w:spacing w:lineRule="auto" w:line="360"/>
        <w:jc w:val="center"/>
        <w:rPr>
          <w:rFonts w:ascii="SimHei" w:hAnsi="SimHei" w:eastAsia="黑体" w:cs="SimHei"/>
          <w:sz w:val="24"/>
          <w:szCs w:val="24"/>
        </w:rPr>
      </w:pPr>
      <w:r>
        <w:rPr>
          <w:rFonts w:ascii="SimHei" w:hAnsi="SimHei" w:eastAsia="黑体" w:cs="SimHei"/>
          <w:sz w:val="24"/>
          <w:szCs w:val="24"/>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rPr>
        <w:t>甲方（盖章）                              乙方（签字）：</w:t>
      </w:r>
    </w:p>
    <w:p>
      <w:pPr>
        <w:pStyle w:val="Normal"/>
        <w:spacing w:lineRule="auto" w:line="360"/>
        <w:rPr>
          <w:rFonts w:ascii="SimHei" w:hAnsi="SimHei" w:eastAsia="黑体" w:cs="SimHei"/>
          <w:sz w:val="24"/>
          <w:szCs w:val="24"/>
        </w:rPr>
      </w:pPr>
      <w:r>
        <w:rPr>
          <w:rFonts w:ascii="SimHei" w:hAnsi="SimHei" w:eastAsia="黑体" w:cs="SimHei"/>
          <w:sz w:val="24"/>
          <w:szCs w:val="24"/>
        </w:rPr>
      </w:r>
    </w:p>
    <w:p>
      <w:pPr>
        <w:pStyle w:val="Normal"/>
        <w:spacing w:lineRule="auto" w:line="360"/>
        <w:ind w:firstLine="480"/>
        <w:rPr>
          <w:rFonts w:ascii="SimHei" w:hAnsi="SimHei" w:eastAsia="黑体" w:cs="SimHei"/>
          <w:sz w:val="24"/>
          <w:szCs w:val="24"/>
          <w:lang w:eastAsia="zh-CN"/>
        </w:rPr>
      </w:pPr>
      <w:r>
        <w:rPr>
          <w:rFonts w:ascii="SimHei" w:hAnsi="SimHei" w:eastAsia="黑体" w:cs="SimHei"/>
          <w:sz w:val="24"/>
          <w:szCs w:val="24"/>
          <w:lang w:val="en-US" w:eastAsia="zh-CN"/>
        </w:rPr>
        <w:t>法人或法人代表</w:t>
      </w:r>
      <w:r>
        <w:rPr>
          <w:rFonts w:ascii="SimHei" w:hAnsi="SimHei" w:eastAsia="黑体" w:cs="SimHei"/>
          <w:sz w:val="24"/>
          <w:szCs w:val="24"/>
        </w:rPr>
        <w:t>（签字）</w:t>
      </w:r>
      <w:r>
        <w:rPr>
          <w:rFonts w:ascii="SimHei" w:hAnsi="SimHei" w:eastAsia="黑体" w:cs="SimHei"/>
          <w:sz w:val="24"/>
          <w:szCs w:val="24"/>
          <w:lang w:eastAsia="zh-CN"/>
        </w:rPr>
        <w:t>：</w:t>
      </w:r>
    </w:p>
    <w:p>
      <w:pPr>
        <w:pStyle w:val="Normal"/>
        <w:spacing w:lineRule="auto" w:line="360"/>
        <w:rPr>
          <w:rFonts w:ascii="SimHei" w:hAnsi="SimHei" w:eastAsia="黑体" w:cs="SimHei"/>
          <w:sz w:val="24"/>
          <w:szCs w:val="24"/>
          <w:lang w:eastAsia="zh-CN"/>
        </w:rPr>
      </w:pPr>
      <w:r>
        <w:rPr>
          <w:rFonts w:ascii="SimHei" w:hAnsi="SimHei" w:eastAsia="黑体" w:cs="SimHei"/>
          <w:sz w:val="24"/>
          <w:szCs w:val="24"/>
          <w:lang w:eastAsia="zh-CN"/>
        </w:rPr>
      </w:r>
    </w:p>
    <w:p>
      <w:pPr>
        <w:pStyle w:val="Normal"/>
        <w:spacing w:lineRule="auto" w:line="360"/>
        <w:ind w:firstLine="480"/>
        <w:rPr>
          <w:rFonts w:ascii="SimHei" w:hAnsi="SimHei" w:eastAsia="黑体" w:cs="SimHei"/>
          <w:sz w:val="24"/>
          <w:szCs w:val="24"/>
        </w:rPr>
      </w:pP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rPr>
        <w:t xml:space="preserve">日                    </w:t>
      </w: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rPr>
        <w:t>日</w:t>
      </w:r>
    </w:p>
    <w:p>
      <w:pPr>
        <w:pStyle w:val="Normal"/>
        <w:spacing w:lineRule="auto" w:line="360"/>
        <w:rPr>
          <w:rFonts w:ascii="SimHei" w:hAnsi="SimHei" w:eastAsia="黑体" w:cs="SimHei"/>
          <w:sz w:val="24"/>
          <w:szCs w:val="24"/>
        </w:rPr>
      </w:pPr>
      <w:r>
        <w:rPr>
          <w:rFonts w:ascii="SimHei" w:hAnsi="SimHei" w:eastAsia="黑体" w:cs="SimHei"/>
          <w:rFonts w:ascii="SimHei" w:hAnsi="SimHei" w:eastAsia="黑体" w:cs="SimHei"/>
          <w:sz w:val="24"/>
          <w:szCs w:val="24"/>
        </w:rPr>
      </w:r>
    </w:p>
    <w:sectPr>
      <w:footerReference w:type="default" r:id="rId2"/>
      <w:type w:val="nextPage"/>
      <w:pgSz w:w="11906" w:h="16838"/>
      <w:pgMar w:left="1080" w:right="108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altName w:val="汉仪书宋二KW"/>
    <w:charset w:val="00" w:characterSet="windows-1252"/>
    <w:family w:val="auto"/>
    <w:pitch w:val="default"/>
  </w:font>
  <w:font w:name="微软雅黑">
    <w:altName w:val="汉仪旗黑"/>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rFonts w:ascii="SimHei" w:hAnsi="SimHei" w:eastAsia="黑体" w:cs="SimHei"/>
      </w:rPr>
    </w:pPr>
    <w:r>
      <w:rPr>
        <w:rFonts w:ascii="SimHei" w:hAnsi="SimHei" w:eastAsia="黑体" w:cs="SimHei"/>
      </w:rPr>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Style14">
    <w:name w:val="默认段落字体"/>
    <w:qFormat/>
    <w:rPr/>
  </w:style>
  <w:style w:type="character" w:styleId="Char">
    <w:name w:val="批注文字 Char"/>
    <w:basedOn w:val="Style14"/>
    <w:qFormat/>
    <w:rPr/>
  </w:style>
  <w:style w:type="character" w:styleId="Char1">
    <w:name w:val="批注框文本 Char"/>
    <w:basedOn w:val="Style14"/>
    <w:qFormat/>
    <w:rPr>
      <w:sz w:val="18"/>
      <w:szCs w:val="18"/>
    </w:rPr>
  </w:style>
  <w:style w:type="character" w:styleId="Char2">
    <w:name w:val="页脚 Char"/>
    <w:basedOn w:val="Style14"/>
    <w:qFormat/>
    <w:rPr>
      <w:sz w:val="18"/>
      <w:szCs w:val="18"/>
    </w:rPr>
  </w:style>
  <w:style w:type="character" w:styleId="Char3">
    <w:name w:val="页眉 Char"/>
    <w:basedOn w:val="Style14"/>
    <w:qFormat/>
    <w:rPr>
      <w:sz w:val="18"/>
      <w:szCs w:val="18"/>
    </w:rPr>
  </w:style>
  <w:style w:type="character" w:styleId="Char4">
    <w:name w:val="批注主题 Char"/>
    <w:basedOn w:val="Char"/>
    <w:qFormat/>
    <w:rPr>
      <w:b/>
      <w:bCs/>
    </w:rPr>
  </w:style>
  <w:style w:type="character" w:styleId="InternetLink">
    <w:name w:val="Hyperlink"/>
    <w:rPr>
      <w:color w:val="0000FF"/>
      <w:u w:val="single"/>
    </w:rPr>
  </w:style>
  <w:style w:type="character" w:styleId="Style15">
    <w:name w:val="批注引用"/>
    <w:basedOn w:val="Style14"/>
    <w:qFormat/>
    <w:rPr>
      <w:sz w:val="21"/>
      <w:szCs w:val="21"/>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6">
    <w:name w:val="批注文字"/>
    <w:basedOn w:val="Normal"/>
    <w:qFormat/>
    <w:pPr>
      <w:jc w:val="start"/>
    </w:pPr>
    <w:rPr/>
  </w:style>
  <w:style w:type="paragraph" w:styleId="Style17">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普通(网站)"/>
    <w:basedOn w:val="Normal"/>
    <w:qFormat/>
    <w:pPr>
      <w:widowControl/>
      <w:spacing w:before="100" w:after="100"/>
      <w:ind w:firstLine="323"/>
      <w:jc w:val="start"/>
    </w:pPr>
    <w:rPr>
      <w:rFonts w:ascii="SimHei" w:hAnsi="SimHei" w:eastAsia="黑体" w:cs="SimHei"/>
      <w:rFonts w:ascii="SimHei" w:hAnsi="SimHei" w:eastAsia="黑体" w:cs="SimHei"/>
      <w:kern w:val="0"/>
      <w:sz w:val="16"/>
      <w:szCs w:val="16"/>
    </w:rPr>
  </w:style>
  <w:style w:type="paragraph" w:styleId="Style19">
    <w:name w:val="批注主题"/>
    <w:basedOn w:val="Style16"/>
    <w:next w:val="Style16"/>
    <w:qFormat/>
    <w:pPr/>
    <w:rPr>
      <w:rFonts w:ascii="SimHei" w:hAnsi="SimHei" w:eastAsia="黑体" w:cs="SimHei"/>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26880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2019-03-12T14:34:00Z</dcterms:created>
  <dc:creator>易法通律师风险提示</dc:creator>
  <dc:description/>
  <dc:language>en-US</dc:language>
  <cp:lastModifiedBy>稿定办公</cp:lastModifiedBy>
  <dcterms:modified xsi:type="dcterms:W3CDTF">2023-03-07T09:19:20Z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147FCBD3685B4504A7B33EA3064D4B29</vt:lpwstr>
  </property>
  <property fmtid="{D5CDD505-2E9C-101B-9397-08002B2CF9AE}" pid="3" name="KSOProductBuildVer">
    <vt:lpwstr>2052-5.2.1.7798</vt:lpwstr>
  </property>
</Properties>
</file>