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color w:val="404040"/>
          <w:sz w:val="144"/>
          <w:szCs w:val="144"/>
        </w:rPr>
      </w:pPr>
      <w:r>
        <w:rPr>
          <w:rFonts w:ascii="SimHei" w:hAnsi="SimHei" w:eastAsia="黑体" w:cs="SimHei"/>
          <w:b/>
          <w:color w:val="404040"/>
          <w:sz w:val="144"/>
          <w:szCs w:val="144"/>
        </w:rPr>
      </w:r>
    </w:p>
    <w:p>
      <w:pPr>
        <w:pStyle w:val="Normal"/>
        <w:jc w:val="center"/>
        <w:rPr>
          <w:rFonts w:ascii="SimHei" w:hAnsi="SimHei" w:eastAsia="黑体" w:cs="SimHei"/>
          <w:b/>
          <w:b/>
          <w:color w:val="404040"/>
          <w:sz w:val="144"/>
          <w:szCs w:val="144"/>
          <w:lang w:val="en-US" w:eastAsia="zh-CN"/>
        </w:rPr>
      </w:pPr>
      <w:r>
        <w:rPr>
          <w:rFonts w:ascii="SimHei" w:hAnsi="SimHei" w:eastAsia="黑体" w:cs="SimHei"/>
          <w:b/>
          <w:color w:val="404040"/>
          <w:sz w:val="144"/>
          <w:szCs w:val="144"/>
        </w:rPr>
        <w:t>保密</w:t>
      </w:r>
      <w:r>
        <w:rPr>
          <w:rFonts w:ascii="SimHei" w:hAnsi="SimHei" w:eastAsia="黑体" w:cs="SimHei"/>
          <w:b/>
          <w:color w:val="404040"/>
          <w:sz w:val="144"/>
          <w:szCs w:val="144"/>
          <w:lang w:val="en-US" w:eastAsia="zh-CN"/>
        </w:rPr>
        <w:t>及</w:t>
      </w:r>
    </w:p>
    <w:p>
      <w:pPr>
        <w:pStyle w:val="Normal"/>
        <w:jc w:val="center"/>
        <w:rPr>
          <w:rFonts w:ascii="SimHei" w:hAnsi="SimHei" w:eastAsia="黑体" w:cs="SimHei"/>
          <w:b/>
          <w:b/>
          <w:bCs/>
          <w:color w:val="FF0000"/>
          <w:sz w:val="144"/>
          <w:szCs w:val="144"/>
        </w:rPr>
      </w:pPr>
      <w:r>
        <w:rPr>
          <w:rFonts w:ascii="SimHei" w:hAnsi="SimHei" w:eastAsia="黑体" w:cs="SimHei"/>
          <w:b/>
          <w:color w:val="404040"/>
          <w:sz w:val="144"/>
          <w:szCs w:val="144"/>
          <w:lang w:val="en-US" w:eastAsia="zh-CN"/>
        </w:rPr>
        <w:t>竞业限制</w:t>
      </w:r>
      <w:r>
        <w:rPr>
          <w:rFonts w:ascii="SimHei" w:hAnsi="SimHei" w:eastAsia="黑体" w:cs="SimHei"/>
          <w:b/>
          <w:color w:val="404040"/>
          <w:sz w:val="144"/>
          <w:szCs w:val="144"/>
        </w:rPr>
        <w:t>协议</w:t>
      </w:r>
    </w:p>
    <w:p>
      <w:pPr>
        <w:pStyle w:val="Normal"/>
        <w:jc w:val="center"/>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t>（</w:t>
      </w:r>
      <w:r>
        <w:rPr>
          <w:rFonts w:ascii="SimHei" w:hAnsi="SimHei" w:eastAsia="黑体" w:cs="SimHei"/>
          <w:b/>
          <w:bCs/>
          <w:color w:val="C00000"/>
          <w:sz w:val="52"/>
          <w:szCs w:val="52"/>
          <w:lang w:val="en-US" w:eastAsia="zh-CN"/>
        </w:rPr>
        <w:t>适用核心员工、高管</w:t>
      </w:r>
      <w:r>
        <w:rPr>
          <w:rFonts w:ascii="SimHei" w:hAnsi="SimHei" w:eastAsia="黑体" w:cs="SimHei"/>
          <w:b/>
          <w:bCs/>
          <w:color w:val="C00000"/>
          <w:sz w:val="52"/>
          <w:szCs w:val="52"/>
        </w:rPr>
        <w:t>）</w:t>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both"/>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snapToGrid w:val="false"/>
        <w:spacing w:lineRule="auto" w:line="360"/>
        <w:jc w:val="center"/>
        <w:rPr>
          <w:rFonts w:ascii="SimHei" w:hAnsi="SimHei" w:eastAsia="黑体" w:cs="SimHei"/>
          <w:b/>
          <w:b/>
          <w:bCs/>
          <w:color w:val="0070C0"/>
          <w:sz w:val="44"/>
          <w:szCs w:val="44"/>
        </w:rPr>
      </w:pPr>
      <w:r>
        <w:rPr>
          <w:rFonts w:ascii="SimHei" w:hAnsi="SimHei" w:eastAsia="黑体" w:cs="SimHei"/>
          <w:b/>
          <w:bCs/>
          <w:color w:val="0070C0"/>
          <w:sz w:val="44"/>
          <w:szCs w:val="44"/>
        </w:rPr>
        <w:t>保密及竞业</w:t>
      </w:r>
      <w:r>
        <w:rPr>
          <w:rFonts w:ascii="SimHei" w:hAnsi="SimHei" w:eastAsia="黑体" w:cs="SimHei"/>
          <w:b/>
          <w:bCs/>
          <w:color w:val="0070C0"/>
          <w:sz w:val="44"/>
          <w:szCs w:val="44"/>
          <w:lang w:val="en-US" w:eastAsia="zh-CN"/>
        </w:rPr>
        <w:t>限制</w:t>
      </w:r>
      <w:r>
        <w:rPr>
          <w:rFonts w:ascii="SimHei" w:hAnsi="SimHei" w:eastAsia="黑体" w:cs="SimHei"/>
          <w:b/>
          <w:bCs/>
          <w:color w:val="0070C0"/>
          <w:sz w:val="44"/>
          <w:szCs w:val="44"/>
        </w:rPr>
        <w:t>协议书</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Cs/>
          <w:color w:val="000000"/>
          <w:sz w:val="24"/>
          <w:szCs w:val="24"/>
        </w:rPr>
      </w:pPr>
      <w:r>
        <w:rPr>
          <w:rFonts w:ascii="SimHei" w:hAnsi="SimHei" w:eastAsia="黑体" w:cs="SimHei"/>
          <w:bCs/>
          <w:color w:val="000000"/>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Cs/>
          <w:color w:val="000000"/>
          <w:sz w:val="24"/>
          <w:szCs w:val="24"/>
        </w:rPr>
      </w:pPr>
      <w:r>
        <w:rPr>
          <w:rFonts w:ascii="SimHei" w:hAnsi="SimHei" w:eastAsia="黑体" w:cs="SimHei"/>
          <w:bCs/>
          <w:color w:val="000000"/>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
          <w:b/>
          <w:bCs w:val="false"/>
          <w:color w:val="000000"/>
          <w:sz w:val="24"/>
          <w:szCs w:val="24"/>
        </w:rPr>
      </w:pPr>
      <w:r>
        <w:rPr>
          <w:rFonts w:ascii="SimHei" w:hAnsi="SimHei" w:eastAsia="黑体" w:cs="SimHei"/>
          <w:b/>
          <w:bCs w:val="false"/>
          <w:color w:val="000000"/>
          <w:sz w:val="24"/>
          <w:szCs w:val="24"/>
        </w:rPr>
        <w:t>甲方（用人单位）：</w:t>
      </w:r>
      <w:r>
        <w:rPr>
          <w:rFonts w:ascii="SimHei" w:hAnsi="SimHei" w:eastAsia="黑体" w:cs="SimHei"/>
          <w:b/>
          <w:bCs w:val="false"/>
          <w:color w:val="000000"/>
          <w:sz w:val="24"/>
          <w:szCs w:val="24"/>
          <w:u w:val="single"/>
        </w:rPr>
        <w:t xml:space="preserve">                        </w:t>
      </w:r>
      <w:r>
        <w:rPr>
          <w:rFonts w:ascii="SimHei" w:hAnsi="SimHei" w:eastAsia="黑体" w:cs="SimHei"/>
          <w:b/>
          <w:bCs w:val="false"/>
          <w:color w:val="000000"/>
          <w:sz w:val="24"/>
          <w:szCs w:val="24"/>
          <w:u w:val="single"/>
          <w:lang w:val="en-US" w:eastAsia="zh-CN"/>
        </w:rPr>
        <w:t xml:space="preserve">                 </w:t>
      </w:r>
      <w:r>
        <w:rPr>
          <w:rFonts w:ascii="SimHei" w:hAnsi="SimHei" w:eastAsia="黑体" w:cs="SimHei"/>
          <w:b/>
          <w:bCs w:val="false"/>
          <w:color w:val="00000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u w:val="single"/>
        </w:rPr>
      </w:pPr>
      <w:r>
        <w:rPr>
          <w:rFonts w:ascii="SimHei" w:hAnsi="SimHei" w:eastAsia="黑体" w:cs="SimHei"/>
          <w:b/>
          <w:bCs w:val="false"/>
          <w:color w:val="000000"/>
          <w:sz w:val="24"/>
          <w:szCs w:val="24"/>
        </w:rPr>
        <w:t>乙方（劳动者）：</w:t>
      </w:r>
      <w:r>
        <w:rPr>
          <w:rFonts w:ascii="SimHei" w:hAnsi="SimHei" w:eastAsia="黑体" w:cs="SimHei"/>
          <w:b/>
          <w:bCs w:val="false"/>
          <w:color w:val="000000"/>
          <w:sz w:val="24"/>
          <w:szCs w:val="24"/>
          <w:u w:val="single"/>
        </w:rPr>
        <w:t xml:space="preserve">               </w:t>
      </w:r>
      <w:r>
        <w:rPr>
          <w:rFonts w:ascii="SimHei" w:hAnsi="SimHei" w:eastAsia="黑体" w:cs="SimHei"/>
          <w:b/>
          <w:bCs w:val="false"/>
          <w:color w:val="000000"/>
          <w:sz w:val="24"/>
          <w:szCs w:val="24"/>
        </w:rPr>
        <w:t>证件号码：</w:t>
      </w:r>
      <w:r>
        <w:rPr>
          <w:rFonts w:ascii="SimHei" w:hAnsi="SimHei" w:eastAsia="黑体" w:cs="SimHei"/>
          <w:b/>
          <w:bCs w:val="false"/>
          <w:color w:val="000000"/>
          <w:sz w:val="24"/>
          <w:szCs w:val="24"/>
          <w:u w:val="single"/>
        </w:rPr>
        <w:t xml:space="preserve">                  </w:t>
      </w:r>
      <w:r>
        <w:rPr>
          <w:rFonts w:ascii="SimHei" w:hAnsi="SimHei" w:eastAsia="黑体" w:cs="SimHei"/>
          <w:color w:val="00000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t>鉴于：</w:t>
      </w:r>
    </w:p>
    <w:p>
      <w:pPr>
        <w:pStyle w:val="Normal"/>
        <w:keepNext w:val="false"/>
        <w:keepLines w:val="false"/>
        <w:pageBreakBefore w:val="false"/>
        <w:widowControl w:val="false"/>
        <w:kinsoku w:val="true"/>
        <w:overflowPunct w:val="true"/>
        <w:autoSpaceDE w:val="true"/>
        <w:bidi w:val="0"/>
        <w:snapToGrid w:val="true"/>
        <w:spacing w:lineRule="auto" w:line="360"/>
        <w:ind w:firstLine="456"/>
        <w:jc w:val="start"/>
        <w:textAlignment w:val="auto"/>
        <w:rPr>
          <w:rFonts w:ascii="SimHei" w:hAnsi="SimHei" w:eastAsia="黑体" w:cs="SimHei"/>
          <w:color w:val="000000"/>
          <w:spacing w:val="-6"/>
          <w:sz w:val="24"/>
          <w:szCs w:val="24"/>
        </w:rPr>
      </w:pPr>
      <w:r>
        <w:rPr>
          <w:rFonts w:ascii="SimHei" w:hAnsi="SimHei" w:eastAsia="黑体" w:cs="SimHei"/>
          <w:color w:val="000000"/>
          <w:spacing w:val="-6"/>
          <w:sz w:val="24"/>
          <w:szCs w:val="24"/>
        </w:rPr>
        <w:t>乙方已同甲方签订了劳动合同，为甲方员工，因工作需要，接触到甲方的商业秘密和技术秘密，为维护公司与员工的共同利益，防止公司的商业秘密和技术秘密流失，明确双方的权利、义务，甲、乙双方根据《公司法》、《</w:t>
      </w:r>
      <w:r>
        <w:rPr>
          <w:rFonts w:ascii="SimHei" w:hAnsi="SimHei" w:eastAsia="黑体" w:cs="SimHei"/>
          <w:color w:val="000000"/>
          <w:spacing w:val="-6"/>
          <w:sz w:val="24"/>
          <w:szCs w:val="24"/>
          <w:lang w:val="en-US" w:eastAsia="zh-CN"/>
        </w:rPr>
        <w:t>中华人民共和国民法典</w:t>
      </w:r>
      <w:r>
        <w:rPr>
          <w:rFonts w:ascii="SimHei" w:hAnsi="SimHei" w:eastAsia="黑体" w:cs="SimHei"/>
          <w:color w:val="000000"/>
          <w:spacing w:val="-6"/>
          <w:sz w:val="24"/>
          <w:szCs w:val="24"/>
        </w:rPr>
        <w:t>》等法律、法规规定，双方按照平等自愿、协商一致的原则，达成如下协议：</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rPr>
        <w:t>一、</w:t>
      </w:r>
      <w:r>
        <w:rPr>
          <w:rFonts w:ascii="SimHei" w:hAnsi="SimHei" w:eastAsia="黑体" w:cs="SimHei"/>
          <w:b/>
          <w:bCs w:val="false"/>
          <w:color w:val="000000"/>
          <w:sz w:val="24"/>
          <w:szCs w:val="24"/>
          <w:lang w:val="en-US" w:eastAsia="zh-CN"/>
        </w:rPr>
        <w:t>保密范围</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本协议书中的商业秘密、技术秘密是指属于甲方所有的，具有实用性，不为公众所知或者不能从外界公开渠道直接取得的，能给甲方带来经营利益，并经甲方采取了保密措施的经营信息或技术信息。</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商业秘密包括但不限于：甲方的发展规划、投资决策、机构改革方案、客户名单、营销计划、采购资料、定价政策、进货渠道、财务资料、法律事务信息、未公布的工资福利和人事调整方案、未公开的办公室会议记录、不宜对外公开的内部规章制度。</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技术秘密包括但不限于：技术方案、工程设计、制造方法、配方、工艺流程、技术指标、计算机软件、数据库、研发记录、技术报告、检测报告、实验数据、实验结果、图纸、样本、样品、模型、操作手册、技术文档、相关函电等。</w:t>
      </w:r>
    </w:p>
    <w:p>
      <w:pPr>
        <w:pStyle w:val="Normal"/>
        <w:keepNext w:val="false"/>
        <w:keepLines w:val="false"/>
        <w:pageBreakBefore w:val="false"/>
        <w:widowControl w:val="false"/>
        <w:kinsoku w:val="true"/>
        <w:overflowPunct w:val="true"/>
        <w:autoSpaceDE w:val="true"/>
        <w:bidi w:val="0"/>
        <w:snapToGrid w:val="true"/>
        <w:spacing w:lineRule="auto" w:line="360"/>
        <w:ind w:firstLine="456"/>
        <w:jc w:val="start"/>
        <w:textAlignment w:val="auto"/>
        <w:rPr>
          <w:rFonts w:ascii="SimHei" w:hAnsi="SimHei" w:eastAsia="黑体" w:cs="SimHei"/>
          <w:color w:val="000000"/>
          <w:spacing w:val="-6"/>
          <w:sz w:val="24"/>
          <w:szCs w:val="24"/>
        </w:rPr>
      </w:pPr>
      <w:r>
        <w:rPr>
          <w:rFonts w:ascii="SimHei" w:hAnsi="SimHei" w:eastAsia="黑体" w:cs="SimHei"/>
          <w:color w:val="000000"/>
          <w:spacing w:val="-6"/>
          <w:sz w:val="24"/>
          <w:szCs w:val="24"/>
        </w:rPr>
        <w:t>甲方与乙方签订本协议书，即是甲方保护其商业秘密、技术秘密的措施之一。</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二、职务成果</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双方确认，乙方在甲方任职期间和终止与甲方劳动关系一年内，因履行职务或者利用了甲方的物资或者资料或者甲方提供的其他物质条件、业务信息等产生的成果，属于职务成果，其知识产权归甲方所有。甲方有权使用或者转让这些职务成果。乙方应当积极提供一切必要的信息资料和采取一切必要的行动，协助甲方取得和利用有关知识产权。</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三、保密责任</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1</w:t>
      </w:r>
      <w:r>
        <w:rPr>
          <w:rFonts w:ascii="SimHei" w:hAnsi="SimHei" w:eastAsia="黑体" w:cs="SimHei"/>
          <w:color w:val="000000"/>
          <w:sz w:val="24"/>
          <w:szCs w:val="24"/>
        </w:rPr>
        <w:t>、乙方在甲方任职期间，必须遵守甲方的各项保密规章、制度，履行与其工作岗位相应的保密职责。甲方的保密规章、制度没有规定或者有不明确之处，乙方应本着谨慎、负责的态度，采取必要、合理的措施，保守其知悉的或者持有的任何属于甲方的商业秘密和技术秘密。</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2</w:t>
      </w:r>
      <w:r>
        <w:rPr>
          <w:rFonts w:ascii="SimHei" w:hAnsi="SimHei" w:eastAsia="黑体" w:cs="SimHei"/>
          <w:color w:val="000000"/>
          <w:sz w:val="24"/>
          <w:szCs w:val="24"/>
        </w:rPr>
        <w:t>、除履行职务的需要之外，未经甲方事先书面同意，乙方不得泄露、传播、公布、发表、传授、转让或者以其他任何方式使任何第三方（包括按照甲方的保密规定无权知悉该秘密的甲方员工）知悉属于甲方的商业秘密、技术秘密，也不得在履行职务之外使用这些秘密。</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3</w:t>
      </w:r>
      <w:r>
        <w:rPr>
          <w:rFonts w:ascii="SimHei" w:hAnsi="SimHei" w:eastAsia="黑体" w:cs="SimHei"/>
          <w:color w:val="000000"/>
          <w:sz w:val="24"/>
          <w:szCs w:val="24"/>
        </w:rPr>
        <w:t>、乙方与甲方签订的劳动合同终止或解除后，仍有义务保守甲方的商业秘密和技术秘密，直至甲方的的商业秘密和技术秘密以解密等方式公开时止。</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四、竞业禁止义务</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1</w:t>
      </w:r>
      <w:r>
        <w:rPr>
          <w:rFonts w:ascii="SimHei" w:hAnsi="SimHei" w:eastAsia="黑体" w:cs="SimHei"/>
          <w:color w:val="000000"/>
          <w:sz w:val="24"/>
          <w:szCs w:val="24"/>
        </w:rPr>
        <w:t>、乙方承诺，在甲方任职期间，不从事任何第二职业；</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2</w:t>
      </w:r>
      <w:r>
        <w:rPr>
          <w:rFonts w:ascii="SimHei" w:hAnsi="SimHei" w:eastAsia="黑体" w:cs="SimHei"/>
          <w:color w:val="000000"/>
          <w:sz w:val="24"/>
          <w:szCs w:val="24"/>
        </w:rPr>
        <w:t>、乙方承诺，无论何种原因从甲方离职，离职后</w:t>
      </w:r>
      <w:r>
        <w:rPr>
          <w:rFonts w:ascii="SimHei" w:hAnsi="SimHei" w:eastAsia="黑体" w:cs="SimHei"/>
          <w:color w:val="000000"/>
          <w:sz w:val="24"/>
          <w:szCs w:val="24"/>
        </w:rPr>
        <w:t>2</w:t>
      </w:r>
      <w:r>
        <w:rPr>
          <w:rFonts w:ascii="SimHei" w:hAnsi="SimHei" w:eastAsia="黑体" w:cs="SimHei"/>
          <w:color w:val="000000"/>
          <w:sz w:val="24"/>
          <w:szCs w:val="24"/>
        </w:rPr>
        <w:t>年内不在与甲方从事的行业相同或相近似的企业及与甲方有竞争关系的企业内工作；</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3</w:t>
      </w:r>
      <w:r>
        <w:rPr>
          <w:rFonts w:ascii="SimHei" w:hAnsi="SimHei" w:eastAsia="黑体" w:cs="SimHei"/>
          <w:color w:val="000000"/>
          <w:sz w:val="24"/>
          <w:szCs w:val="24"/>
        </w:rPr>
        <w:t>、乙方承诺，无论何种原因从甲方离职，离职后</w:t>
      </w:r>
      <w:r>
        <w:rPr>
          <w:rFonts w:ascii="SimHei" w:hAnsi="SimHei" w:eastAsia="黑体" w:cs="SimHei"/>
          <w:color w:val="000000"/>
          <w:sz w:val="24"/>
          <w:szCs w:val="24"/>
          <w:u w:val="none"/>
        </w:rPr>
        <w:t>2</w:t>
      </w:r>
      <w:r>
        <w:rPr>
          <w:rFonts w:ascii="SimHei" w:hAnsi="SimHei" w:eastAsia="黑体" w:cs="SimHei"/>
          <w:color w:val="000000"/>
          <w:sz w:val="24"/>
          <w:szCs w:val="24"/>
        </w:rPr>
        <w:t>年内不得自办与甲方有竞争关系的企业或者从事与甲方商业秘密、技术秘密有关的产品的研发、生产和经营活动。</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4</w:t>
      </w:r>
      <w:r>
        <w:rPr>
          <w:rFonts w:ascii="SimHei" w:hAnsi="SimHei" w:eastAsia="黑体" w:cs="SimHei"/>
          <w:color w:val="000000"/>
          <w:sz w:val="24"/>
          <w:szCs w:val="24"/>
        </w:rPr>
        <w:t>、乙方承诺，无论何种原因从甲方离职，乙方应当于离职前，应立即向甲方移交所有自己所持有或掌握的甲方的财物和载有甲方商业秘密、技术秘密信息的一切载体，包括但不限于所有文件记录、资料、图表、笔记、报告、信件、传真、磁盘、光盘、仪器及其他任何形式的载体。乙方应保证有关商业秘密、技术秘密信息不外泄，并不得将商业秘密、技术秘密擅自保留或复制或交与任何第三方。</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五、竞业补偿金额及支付方式</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作为乙方竞业限制之补偿，甲方每月支付乙方人民币小写</w:t>
      </w:r>
      <w:r>
        <w:rPr>
          <w:rFonts w:ascii="SimHei" w:hAnsi="SimHei" w:eastAsia="黑体" w:cs="SimHei"/>
          <w:color w:val="000000"/>
          <w:sz w:val="24"/>
          <w:szCs w:val="24"/>
        </w:rPr>
        <w:t>:</w:t>
      </w:r>
      <w:r>
        <w:rPr>
          <w:rFonts w:ascii="SimHei" w:hAnsi="SimHei" w:eastAsia="黑体" w:cs="SimHei"/>
          <w:color w:val="000000"/>
          <w:sz w:val="24"/>
          <w:szCs w:val="24"/>
          <w:u w:val="single"/>
        </w:rPr>
        <w:t xml:space="preserve">      </w:t>
      </w:r>
      <w:r>
        <w:rPr>
          <w:rFonts w:ascii="SimHei" w:hAnsi="SimHei" w:eastAsia="黑体" w:cs="SimHei"/>
          <w:color w:val="000000"/>
          <w:sz w:val="24"/>
          <w:szCs w:val="24"/>
        </w:rPr>
        <w:t>元；人民币大写：</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single"/>
        </w:rPr>
        <w:t xml:space="preserve">  </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single"/>
        </w:rPr>
        <w:t xml:space="preserve">  </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none"/>
          <w:lang w:val="en-US" w:eastAsia="zh-CN"/>
        </w:rPr>
        <w:t>圆</w:t>
      </w:r>
      <w:r>
        <w:rPr>
          <w:rFonts w:ascii="SimHei" w:hAnsi="SimHei" w:eastAsia="黑体" w:cs="SimHei"/>
          <w:color w:val="000000"/>
          <w:sz w:val="24"/>
          <w:szCs w:val="24"/>
        </w:rPr>
        <w:t>整，共支付</w:t>
      </w:r>
      <w:r>
        <w:rPr>
          <w:rFonts w:ascii="SimHei" w:hAnsi="SimHei" w:eastAsia="黑体" w:cs="SimHei"/>
          <w:color w:val="000000"/>
          <w:sz w:val="24"/>
          <w:szCs w:val="24"/>
          <w:u w:val="single"/>
        </w:rPr>
        <w:t xml:space="preserve">   </w:t>
      </w:r>
      <w:r>
        <w:rPr>
          <w:rFonts w:ascii="SimHei" w:hAnsi="SimHei" w:eastAsia="黑体" w:cs="SimHei"/>
          <w:color w:val="000000"/>
          <w:sz w:val="24"/>
          <w:szCs w:val="24"/>
        </w:rPr>
        <w:t>个月。各期款项均支付至乙方以下账户：</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u w:val="single"/>
        </w:rPr>
      </w:pPr>
      <w:r>
        <w:rPr>
          <w:rFonts w:ascii="SimHei" w:hAnsi="SimHei" w:eastAsia="黑体" w:cs="SimHei"/>
          <w:color w:val="000000"/>
          <w:sz w:val="24"/>
          <w:szCs w:val="24"/>
        </w:rPr>
        <w:t>户名</w:t>
      </w:r>
      <w:r>
        <w:rPr>
          <w:rFonts w:ascii="SimHei" w:hAnsi="SimHei" w:eastAsia="黑体" w:cs="SimHei"/>
          <w:color w:val="000000"/>
          <w:sz w:val="24"/>
          <w:szCs w:val="24"/>
          <w:u w:val="single"/>
        </w:rPr>
        <w:t xml:space="preserve">          </w:t>
      </w:r>
      <w:r>
        <w:rPr>
          <w:rFonts w:ascii="SimHei" w:hAnsi="SimHei" w:eastAsia="黑体" w:cs="SimHei"/>
          <w:color w:val="000000"/>
          <w:sz w:val="24"/>
          <w:szCs w:val="24"/>
        </w:rPr>
        <w:t xml:space="preserve">开户行 </w:t>
      </w:r>
      <w:r>
        <w:rPr>
          <w:rFonts w:ascii="SimHei" w:hAnsi="SimHei" w:eastAsia="黑体" w:cs="SimHei"/>
          <w:color w:val="000000"/>
          <w:sz w:val="24"/>
          <w:szCs w:val="24"/>
          <w:u w:val="single"/>
        </w:rPr>
        <w:t xml:space="preserve">               </w:t>
      </w:r>
      <w:r>
        <w:rPr>
          <w:rFonts w:ascii="SimHei" w:hAnsi="SimHei" w:eastAsia="黑体" w:cs="SimHei"/>
          <w:color w:val="000000"/>
          <w:sz w:val="24"/>
          <w:szCs w:val="24"/>
        </w:rPr>
        <w:t>账号</w:t>
      </w:r>
      <w:r>
        <w:rPr>
          <w:rFonts w:ascii="SimHei" w:hAnsi="SimHei" w:eastAsia="黑体" w:cs="SimHei"/>
          <w:color w:val="00000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甲方支付竞业限制补偿金的起始日期自双方解除或终止劳动合同之日起算。如乙方收款账户发生变更，应以书面形式通知甲方。否则，款项无法到账、遗失等的相应后果由乙方自行承担。乙方未收到款项，竞业限制协议依然有效。</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以上补偿金额为含税金额，由此产生的相应税收，由乙方承担。</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六、违约责任</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乙方违反本协议的约定，应向甲方支付违约金人民币小写</w:t>
      </w:r>
      <w:r>
        <w:rPr>
          <w:rFonts w:ascii="SimHei" w:hAnsi="SimHei" w:eastAsia="黑体" w:cs="SimHei"/>
          <w:color w:val="000000"/>
          <w:sz w:val="24"/>
          <w:szCs w:val="24"/>
        </w:rPr>
        <w:t>:</w:t>
      </w:r>
      <w:r>
        <w:rPr>
          <w:rFonts w:ascii="SimHei" w:hAnsi="SimHei" w:eastAsia="黑体" w:cs="SimHei"/>
          <w:color w:val="000000"/>
          <w:sz w:val="24"/>
          <w:szCs w:val="24"/>
          <w:u w:val="single"/>
        </w:rPr>
        <w:t xml:space="preserve">      </w:t>
      </w:r>
      <w:r>
        <w:rPr>
          <w:rFonts w:ascii="SimHei" w:hAnsi="SimHei" w:eastAsia="黑体" w:cs="SimHei"/>
          <w:color w:val="000000"/>
          <w:sz w:val="24"/>
          <w:szCs w:val="24"/>
        </w:rPr>
        <w:t>元；人民币大写：</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single"/>
        </w:rPr>
        <w:t xml:space="preserve">  </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single"/>
        </w:rPr>
        <w:t xml:space="preserve">  </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none"/>
          <w:lang w:val="en-US" w:eastAsia="zh-CN"/>
        </w:rPr>
        <w:t>圆</w:t>
      </w:r>
      <w:r>
        <w:rPr>
          <w:rFonts w:ascii="SimHei" w:hAnsi="SimHei" w:eastAsia="黑体" w:cs="SimHei"/>
          <w:color w:val="000000"/>
          <w:sz w:val="24"/>
          <w:szCs w:val="24"/>
        </w:rPr>
        <w:t>整</w:t>
      </w:r>
      <w:r>
        <w:rPr>
          <w:rFonts w:ascii="SimHei" w:hAnsi="SimHei" w:eastAsia="黑体" w:cs="SimHei"/>
          <w:color w:val="000000"/>
          <w:sz w:val="24"/>
          <w:szCs w:val="24"/>
          <w:lang w:eastAsia="zh-CN"/>
        </w:rPr>
        <w:t>，</w:t>
      </w:r>
      <w:r>
        <w:rPr>
          <w:rFonts w:ascii="SimHei" w:hAnsi="SimHei" w:eastAsia="黑体" w:cs="SimHei"/>
          <w:color w:val="000000"/>
          <w:sz w:val="24"/>
          <w:szCs w:val="24"/>
        </w:rPr>
        <w:t>给甲方造成损失的，乙方应当赔偿甲方的损失，并承担甲方因调查违约行为所支付的合理费用。同时，甲方有权选择要求乙方继续履行本协议或者解除劳动合同并追究乙方的法律责任。</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七、争议解决</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本协议书作为劳动合同的补充，因执行本协议而引起的纠纷由双方协商解决；协商不成的，任何一方均可以依法申请劳动仲裁。</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上述约定不影响甲方请求知识产权管理部门对侵权行为的处理。</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八、其他事项</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1</w:t>
      </w:r>
      <w:r>
        <w:rPr>
          <w:rFonts w:ascii="SimHei" w:hAnsi="SimHei" w:eastAsia="黑体" w:cs="SimHei"/>
          <w:color w:val="000000"/>
          <w:sz w:val="24"/>
          <w:szCs w:val="24"/>
        </w:rPr>
        <w:t>、本协议所称的任职期间，是指乙方入职甲方到劳动合同终止或解除，甲方不再向乙方支付工资的期间。</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本协议所称的离职，是指乙方表示终止劳动关系并将此种意愿付诸实践的行为，包括辞职、辞退等正常离职和乙方的非正常离职。</w:t>
      </w:r>
    </w:p>
    <w:p>
      <w:pPr>
        <w:pStyle w:val="Normal"/>
        <w:keepNext w:val="false"/>
        <w:keepLines w:val="false"/>
        <w:pageBreakBefore w:val="false"/>
        <w:widowControl w:val="false"/>
        <w:numPr>
          <w:ilvl w:val="0"/>
          <w:numId w:val="1"/>
        </w:numPr>
        <w:kinsoku w:val="true"/>
        <w:overflowPunct w:val="true"/>
        <w:autoSpaceDE w:val="true"/>
        <w:bidi w:val="0"/>
        <w:snapToGrid w:val="true"/>
        <w:spacing w:lineRule="auto" w:line="360"/>
        <w:ind w:start="0"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本协议与甲乙双方签订的《劳动合同书》具有同等法律效力；如与双方以前的任何口头或书面协议有抵触，以本协议为准。</w:t>
      </w:r>
    </w:p>
    <w:p>
      <w:pPr>
        <w:pStyle w:val="Normal"/>
        <w:keepNext w:val="false"/>
        <w:keepLines w:val="false"/>
        <w:pageBreakBefore w:val="false"/>
        <w:widowControl w:val="false"/>
        <w:numPr>
          <w:ilvl w:val="0"/>
          <w:numId w:val="1"/>
        </w:numPr>
        <w:kinsoku w:val="true"/>
        <w:overflowPunct w:val="true"/>
        <w:autoSpaceDE w:val="true"/>
        <w:bidi w:val="0"/>
        <w:snapToGrid w:val="true"/>
        <w:spacing w:lineRule="auto" w:line="360"/>
        <w:ind w:start="0"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本协议未尽事宜，参照国家有关法律、法规执行；在本协议期内，如遇国家法律、法规、政策调整的，按照新规定执行。</w:t>
      </w:r>
    </w:p>
    <w:p>
      <w:pPr>
        <w:pStyle w:val="Normal"/>
        <w:keepNext w:val="false"/>
        <w:keepLines w:val="false"/>
        <w:pageBreakBefore w:val="false"/>
        <w:widowControl w:val="false"/>
        <w:numPr>
          <w:ilvl w:val="0"/>
          <w:numId w:val="1"/>
        </w:numPr>
        <w:kinsoku w:val="true"/>
        <w:overflowPunct w:val="true"/>
        <w:autoSpaceDE w:val="true"/>
        <w:bidi w:val="0"/>
        <w:snapToGrid w:val="true"/>
        <w:spacing w:lineRule="auto" w:line="360"/>
        <w:ind w:start="0"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本协议一式二份，甲乙双方各执一份，经双方签字盖章后生效。</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SimHei" w:hAnsi="SimHei" w:eastAsia="黑体" w:cs="SimHei"/>
          <w:color w:val="000000"/>
          <w:sz w:val="24"/>
          <w:szCs w:val="24"/>
          <w:lang w:val="en-US" w:eastAsia="zh-CN"/>
        </w:rPr>
      </w:pPr>
      <w:r>
        <w:rPr>
          <w:rFonts w:ascii="SimHei" w:hAnsi="SimHei" w:eastAsia="黑体" w:cs="SimHei"/>
          <w:color w:val="000000"/>
          <w:sz w:val="24"/>
          <w:szCs w:val="24"/>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SimHei" w:hAnsi="SimHei" w:eastAsia="黑体" w:cs="SimHei"/>
          <w:color w:val="000000"/>
          <w:sz w:val="24"/>
          <w:szCs w:val="24"/>
        </w:rPr>
      </w:pPr>
      <w:r>
        <w:rPr>
          <w:rFonts w:ascii="SimHei" w:hAnsi="SimHei" w:eastAsia="黑体" w:cs="SimHei"/>
          <w:color w:val="000000"/>
          <w:sz w:val="24"/>
          <w:szCs w:val="24"/>
          <w:lang w:val="en-US" w:eastAsia="zh-CN"/>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start="958" w:hanging="24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t>甲方：（签章）</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 xml:space="preserve">      乙方：（签字）</w:t>
      </w:r>
      <w:r>
        <w:rPr>
          <w:rFonts w:ascii="SimHei" w:hAnsi="SimHei" w:eastAsia="黑体" w:cs="SimHei"/>
          <w:b/>
          <w:bCs/>
          <w:color w:val="00000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start="960" w:hanging="961"/>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start="958" w:hanging="24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t>日期：</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u w:val="single"/>
          <w:lang w:val="en-US" w:eastAsia="zh-CN"/>
        </w:rPr>
        <w:t xml:space="preserve">   </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年</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月</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日        日期：</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u w:val="single"/>
          <w:lang w:val="en-US" w:eastAsia="zh-CN"/>
        </w:rPr>
        <w:t xml:space="preserve">   </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年</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月</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 xml:space="preserve">日 </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SimHei" w:hAnsi="SimHei" w:eastAsia="黑体" w:cs="SimHei"/>
          <w:b/>
          <w:b/>
          <w:bCs/>
          <w:color w:val="000000"/>
          <w:sz w:val="24"/>
          <w:szCs w:val="24"/>
        </w:rPr>
      </w:pPr>
      <w:r>
        <w:rPr>
          <w:rFonts w:ascii="SimHei" w:hAnsi="SimHei" w:eastAsia="黑体" w:cs="SimHei"/>
          <w:rFonts w:ascii="SimHei" w:hAnsi="SimHei" w:eastAsia="黑体" w:cs="SimHei"/>
          <w:b/>
          <w:bCs/>
          <w:color w:val="000000"/>
          <w:sz w:val="24"/>
          <w:szCs w:val="24"/>
        </w:rPr>
      </w:r>
    </w:p>
    <w:sectPr>
      <w:headerReference w:type="default" r:id="rId2"/>
      <w:footerReference w:type="default" r:id="rId3"/>
      <w:type w:val="nextPage"/>
      <w:pgSz w:w="11849" w:h="16781"/>
      <w:pgMar w:left="1080" w:right="1080" w:header="851" w:top="1440" w:footer="77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微软雅黑">
    <w:altName w:val="汉仪旗黑"/>
    <w:charset w:val="00" w:characterSet="windows-1252"/>
    <w:family w:val="swiss"/>
    <w:pitch w:val="default"/>
  </w:font>
  <w:font w:name="宋体">
    <w:altName w:val="汉仪书宋二KW"/>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r>
      <w:rPr>
        <w:rFonts w:ascii="SimHei" w:hAnsi="SimHei" w:eastAsia="黑体" w:cs="SimHei"/>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6</w:t>
                          </w:r>
                          <w:r>
                            <w:rPr>
                              <w:rFonts w:ascii="SimHei" w:hAnsi="SimHei" w:eastAsia="黑体" w:cs="SimHei"/>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39.95pt;mso-position-horizontal:center;mso-position-horizontal-relative:margin">
              <v:fill opacity="0f"/>
              <v:textbox inset="0in,0in,0in,0in">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6</w:t>
                    </w:r>
                    <w:r>
                      <w:rPr>
                        <w:rFonts w:ascii="SimHei" w:hAnsi="SimHei" w:eastAsia="黑体" w:cs="SimHe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SimHei" w:hAnsi="SimHei" w:eastAsia="黑体" w:cs="SimHei"/>
      </w:rPr>
    </w:pPr>
    <w:r>
      <w:rPr>
        <w:rFonts w:ascii="SimHei" w:hAnsi="SimHei" w:eastAsia="黑体" w:cs="SimHe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suff w:val="nothing"/>
      <w:lvlText w:val="%1、"/>
      <w:lvlJc w:val="start"/>
      <w:pPr>
        <w:tabs>
          <w:tab w:val="num" w:pos="0"/>
        </w:tabs>
        <w:ind w:start="0" w:hanging="0"/>
      </w:pPr>
      <w:rPr>
        <w:rFonts w:ascii="SimHei" w:hAnsi="SimHei" w:eastAsia="黑体" w:cs="SimHei"/>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0"/>
      <w:lang w:val="en-US" w:eastAsia="zh-CN" w:bidi="ar-SA"/>
    </w:rPr>
  </w:style>
  <w:style w:type="character" w:styleId="WW8Num1z0">
    <w:name w:val="WW8Num1z0"/>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tabs>
        <w:tab w:val="clear" w:pos="420"/>
        <w:tab w:val="center" w:pos="4153" w:leader="none"/>
        <w:tab w:val="right" w:pos="8306" w:leader="none"/>
      </w:tabs>
      <w:snapToGrid w:val="false"/>
    </w:pPr>
    <w:rPr>
      <w:rFonts w:ascii="SimHei" w:hAnsi="SimHei" w:eastAsia="黑体" w:cs="SimHei"/>
      <w:rFonts w:ascii="SimHei" w:hAnsi="SimHei" w:eastAsia="黑体" w:cs="SimHei"/>
      <w:sz w:val="18"/>
    </w:rPr>
  </w:style>
  <w:style w:type="paragraph" w:styleId="FrameContents">
    <w:name w:val="Frame Contents"/>
    <w:basedOn w:val="Normal"/>
    <w:qFormat/>
    <w:pPr/>
    <w:rPr>
      <w:rFonts w:ascii="SimHei" w:hAnsi="SimHei" w:eastAsia="黑体" w:cs="SimHei"/>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1920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2018-08-03T21:03:00Z</dcterms:created>
  <dc:creator>boor</dc:creator>
  <dc:description>淘宝-知识杂货店（https://zszhd.taobao.com）</dc:description>
  <dc:language>en-US</dc:language>
  <cp:lastModifiedBy>稿定办公</cp:lastModifiedBy>
  <dcterms:modified xsi:type="dcterms:W3CDTF">2023-02-27T22:07:42Z</dcterms:modified>
  <cp:revision>2</cp:revision>
  <dc:subject>淘宝-知识杂货店（https://zszhd.taobao.com）</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931525DBA16649F1B957544108CC58DB</vt:lpwstr>
  </property>
  <property fmtid="{D5CDD505-2E9C-101B-9397-08002B2CF9AE}" pid="3" name="KSOProductBuildVer">
    <vt:lpwstr>2052-4.6.1.7451</vt:lpwstr>
  </property>
</Properties>
</file>