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楷体;汉仪楷体KW"/>
          <w:b/>
          <w:b/>
          <w:bCs/>
          <w:color w:val="000000"/>
          <w:kern w:val="0"/>
          <w:sz w:val="24"/>
          <w:szCs w:val="32"/>
        </w:rPr>
      </w:pPr>
      <w:r>
        <w:rPr>
          <w:rFonts w:eastAsia="楷体;汉仪楷体KW" w:cs="楷体;汉仪楷体KW" w:ascii="楷体;汉仪楷体KW" w:hAnsi="楷体;汉仪楷体KW"/>
          <w:b/>
          <w:bCs/>
          <w:color w:val="000000"/>
          <w:kern w:val="0"/>
          <w:sz w:val="24"/>
          <w:szCs w:val="32"/>
        </w:rPr>
        <w:t xml:space="preserve"> </w:t>
      </w:r>
      <w:r>
        <w:rPr>
          <w:rFonts w:ascii="楷体;汉仪楷体KW" w:hAnsi="楷体;汉仪楷体KW" w:cs="楷体;汉仪楷体KW" w:eastAsia="楷体;汉仪楷体KW"/>
          <w:b/>
          <w:bCs/>
          <w:color w:val="000000"/>
          <w:kern w:val="0"/>
          <w:sz w:val="24"/>
          <w:szCs w:val="32"/>
        </w:rPr>
        <w:t>职员考核总结表</w:t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</w:tblGrid>
      <w:tr>
        <w:trPr>
          <w:trHeight w:val="8294" w:hRule="atLeast"/>
        </w:trPr>
        <w:tc>
          <w:tcPr>
            <w:tcW w:w="900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主管意见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1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、综合评分：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2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、该员工在前一段工作：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1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）表现最好员工之一  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2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）表现优良  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3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）表现满意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4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）尚需若干改进才能达到满意的地方 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5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）需大幅度改进才能达到满意的地步。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3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、该员工的主要优点：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4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、该员工的主要缺点：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5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、绩效改进计划：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6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、为完成本职工作，该员工需参加培训，培训计划：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7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、该员工是否适应本职工作？□是    □否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如否，那些工作较适合？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8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、该员工的晋升潜能，晋升方向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: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9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、其它意见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:</w:t>
            </w:r>
          </w:p>
          <w:p>
            <w:pPr>
              <w:pStyle w:val="Normal"/>
              <w:tabs>
                <w:tab w:val="clear" w:pos="420"/>
                <w:tab w:val="left" w:pos="8505" w:leader="none"/>
              </w:tabs>
              <w:spacing w:lineRule="auto" w:line="360"/>
              <w:ind w:firstLine="48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 xml:space="preserve"> 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主管签字：                    日期</w:t>
            </w: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>:</w:t>
            </w:r>
          </w:p>
        </w:tc>
      </w:tr>
    </w:tbl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altName w:val="汉仪楷体KW"/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脚 Char"/>
    <w:qFormat/>
    <w:rPr>
      <w:kern w:val="2"/>
      <w:sz w:val="18"/>
      <w:szCs w:val="18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2019-04-10T17:25:00Z</dcterms:created>
  <dc:creator>Data</dc:creator>
  <dc:description/>
  <dc:language>en-US</dc:language>
  <cp:lastModifiedBy>dae</cp:lastModifiedBy>
  <dcterms:modified xsi:type="dcterms:W3CDTF">2022-03-03T06:13:37Z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