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sectPr>
          <w:headerReference w:type="default" r:id="rId3"/>
          <w:footerReference w:type="default" r:id="rId4"/>
          <w:type w:val="nextPage"/>
          <w:pgSz w:w="11906" w:h="16838"/>
          <w:pgMar w:left="1701" w:right="1701" w:header="567" w:top="1440" w:footer="992" w:bottom="1049" w:gutter="0"/>
          <w:pgNumType w:fmt="decimal"/>
          <w:formProt w:val="false"/>
          <w:textDirection w:val="lrTb"/>
          <w:docGrid w:type="lines" w:linePitch="312" w:charSpace="0"/>
        </w:sectPr>
        <w:pStyle w:val="Normal"/>
        <w:bidi w:val="0"/>
        <w:jc w:val="center"/>
        <w:rPr>
          <w:rFonts w:ascii="黑体" w:hAnsi="黑体" w:eastAsia="黑体"/>
          <w:color w:val="0070C0"/>
          <w:sz w:val="24"/>
        </w:rPr>
      </w:pPr>
      <w:r>
        <w:rPr>
          <w:rFonts w:eastAsia="黑体" w:ascii="黑体" w:hAnsi="黑体"/>
          <w:color w:val="0070C0"/>
          <w:sz w:val="24"/>
        </w:rPr>
        <mc:AlternateContent>
          <mc:Choice Requires="wps">
            <w:drawing>
              <wp:anchor behindDoc="0" distT="0" distB="0" distL="114300" distR="114300" simplePos="0" locked="0" layoutInCell="0" allowOverlap="1" relativeHeight="2">
                <wp:simplePos x="0" y="0"/>
                <wp:positionH relativeFrom="column">
                  <wp:posOffset>-1079500</wp:posOffset>
                </wp:positionH>
                <wp:positionV relativeFrom="paragraph">
                  <wp:posOffset>-902335</wp:posOffset>
                </wp:positionV>
                <wp:extent cx="7601585" cy="10671810"/>
                <wp:effectExtent l="0" t="0" r="0" b="0"/>
                <wp:wrapSquare wrapText="bothSides"/>
                <wp:docPr id="1" name="图片框 12"/>
                <a:graphic xmlns:a="http://schemas.openxmlformats.org/drawingml/2006/main">
                  <a:graphicData uri="http://schemas.openxmlformats.org/drawingml/2006/picture">
                    <pic:pic xmlns:pic="http://schemas.openxmlformats.org/drawingml/2006/picture">
                      <pic:nvPicPr>
                        <pic:cNvPr id="0" name="图片框 12" descr=""/>
                        <pic:cNvPicPr/>
                      </pic:nvPicPr>
                      <pic:blipFill>
                        <a:blip r:embed="rId2"/>
                        <a:stretch/>
                      </pic:blipFill>
                      <pic:spPr>
                        <a:xfrm>
                          <a:off x="0" y="0"/>
                          <a:ext cx="7601040" cy="10671120"/>
                        </a:xfrm>
                        <a:prstGeom prst="rect">
                          <a:avLst/>
                        </a:prstGeom>
                        <a:ln w="0">
                          <a:noFill/>
                        </a:ln>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图片框 12" stroked="f" style="position:absolute;margin-left:-85pt;margin-top:-71.05pt;width:598.45pt;height:840.2pt;mso-wrap-style:none;v-text-anchor:middle" type="shapetype_75">
                <v:imagedata r:id="rId2" o:detectmouseclick="t"/>
                <v:stroke color="#3465a4" joinstyle="round" endcap="flat"/>
                <w10:wrap type="square"/>
              </v:shape>
            </w:pict>
          </mc:Fallback>
        </mc:AlternateContent>
      </w:r>
      <w:bookmarkStart w:id="0" w:name="_GoBack"/>
      <w:bookmarkStart w:id="1" w:name="_GoBack"/>
      <w:bookmarkEnd w:id="1"/>
    </w:p>
    <w:p>
      <w:pPr>
        <w:pStyle w:val="Normal"/>
        <w:bidi w:val="0"/>
        <w:jc w:val="center"/>
        <w:rPr>
          <w:rFonts w:ascii="黑体" w:hAnsi="黑体" w:eastAsia="黑体"/>
          <w:color w:val="0070C0"/>
          <w:sz w:val="24"/>
        </w:rPr>
      </w:pPr>
      <w:r>
        <w:rPr>
          <w:rFonts w:eastAsia="黑体" w:ascii="黑体" w:hAnsi="黑体"/>
          <w:color w:val="0070C0"/>
          <w:sz w:val="24"/>
        </w:rPr>
      </w:r>
    </w:p>
    <w:p>
      <w:pPr>
        <w:pStyle w:val="Normal"/>
        <w:bidi w:val="0"/>
        <w:jc w:val="center"/>
        <w:rPr>
          <w:rFonts w:ascii="黑体" w:hAnsi="黑体" w:eastAsia="黑体"/>
          <w:color w:val="0070C0"/>
          <w:sz w:val="24"/>
        </w:rPr>
      </w:pPr>
      <w:r>
        <w:rPr>
          <w:rFonts w:eastAsia="黑体" w:ascii="黑体" w:hAnsi="黑体"/>
          <w:color w:val="0070C0"/>
          <w:sz w:val="24"/>
        </w:rPr>
      </w:r>
    </w:p>
    <w:p>
      <w:pPr>
        <w:pStyle w:val="Normal"/>
        <w:bidi w:val="0"/>
        <w:jc w:val="center"/>
        <w:rPr>
          <w:rFonts w:ascii="黑体" w:hAnsi="黑体" w:eastAsia="黑体"/>
          <w:color w:val="0070C0"/>
          <w:sz w:val="24"/>
        </w:rPr>
      </w:pPr>
      <w:r>
        <w:rPr>
          <w:rFonts w:eastAsia="黑体" w:ascii="黑体" w:hAnsi="黑体"/>
          <w:color w:val="0070C0"/>
          <w:sz w:val="24"/>
        </w:rPr>
      </w:r>
    </w:p>
    <w:p>
      <w:pPr>
        <w:pStyle w:val="Normal"/>
        <w:bidi w:val="0"/>
        <w:jc w:val="center"/>
        <w:rPr>
          <w:rFonts w:ascii="楷体_GB2312" w:hAnsi="楷体_GB2312" w:eastAsia="楷体_GB2312"/>
          <w:b/>
          <w:b/>
          <w:color w:val="FF0000"/>
          <w:sz w:val="28"/>
          <w:szCs w:val="28"/>
        </w:rPr>
      </w:pPr>
      <w:r>
        <w:rPr>
          <w:rFonts w:eastAsia="微软雅黑" w:ascii="微软雅黑" w:hAnsi="微软雅黑"/>
          <w:b/>
          <w:color w:val="0070C0"/>
          <w:sz w:val="44"/>
          <w:szCs w:val="44"/>
        </w:rPr>
        <w:t xml:space="preserve"> </w:t>
      </w:r>
      <w:r>
        <w:rPr>
          <w:rFonts w:ascii="微软雅黑" w:hAnsi="微软雅黑" w:eastAsia="微软雅黑"/>
          <w:b/>
          <w:color w:val="0070C0"/>
          <w:sz w:val="44"/>
          <w:szCs w:val="44"/>
        </w:rPr>
        <w:t>行政管理部门</w:t>
      </w:r>
      <w:r>
        <w:rPr>
          <w:rFonts w:eastAsia="微软雅黑" w:ascii="微软雅黑" w:hAnsi="微软雅黑"/>
          <w:b/>
          <w:color w:val="0070C0"/>
          <w:sz w:val="44"/>
          <w:szCs w:val="44"/>
        </w:rPr>
        <w:t>KPI</w:t>
      </w:r>
      <w:r>
        <w:rPr>
          <w:rFonts w:ascii="微软雅黑" w:hAnsi="微软雅黑" w:eastAsia="微软雅黑"/>
          <w:b/>
          <w:color w:val="0070C0"/>
          <w:sz w:val="44"/>
          <w:szCs w:val="44"/>
        </w:rPr>
        <w:t>指标（结合</w:t>
      </w:r>
      <w:r>
        <w:rPr>
          <w:rFonts w:eastAsia="微软雅黑" w:ascii="微软雅黑" w:hAnsi="微软雅黑"/>
          <w:b/>
          <w:color w:val="0070C0"/>
          <w:sz w:val="44"/>
          <w:szCs w:val="44"/>
        </w:rPr>
        <w:t>BSC</w:t>
      </w:r>
      <w:r>
        <w:rPr>
          <w:rFonts w:ascii="微软雅黑" w:hAnsi="微软雅黑" w:eastAsia="微软雅黑"/>
          <w:b/>
          <w:color w:val="0070C0"/>
          <w:sz w:val="44"/>
          <w:szCs w:val="44"/>
        </w:rPr>
        <w:t>）</w:t>
      </w:r>
    </w:p>
    <w:p>
      <w:pPr>
        <w:pStyle w:val="Normal"/>
        <w:bidi w:val="0"/>
        <w:spacing w:lineRule="exact" w:line="360"/>
        <w:ind w:start="-424" w:end="-567" w:firstLine="470"/>
        <w:jc w:val="start"/>
        <w:rPr>
          <w:rFonts w:ascii="楷体_GB2312" w:hAnsi="楷体_GB2312" w:eastAsia="楷体_GB2312"/>
          <w:b/>
          <w:b/>
          <w:sz w:val="24"/>
        </w:rPr>
      </w:pPr>
      <w:r>
        <w:rPr>
          <w:rFonts w:eastAsia="楷体_GB2312" w:ascii="楷体_GB2312" w:hAnsi="楷体_GB2312"/>
          <w:b/>
          <w:sz w:val="24"/>
        </w:rPr>
      </w:r>
    </w:p>
    <w:p>
      <w:pPr>
        <w:pStyle w:val="Normal"/>
        <w:bidi w:val="0"/>
        <w:spacing w:lineRule="exact" w:line="360"/>
        <w:ind w:start="-424" w:end="-567" w:firstLine="470"/>
        <w:jc w:val="start"/>
        <w:rPr>
          <w:rFonts w:ascii="楷体_GB2312" w:hAnsi="楷体_GB2312" w:eastAsia="楷体_GB2312"/>
          <w:b/>
          <w:b/>
          <w:sz w:val="24"/>
        </w:rPr>
      </w:pPr>
      <w:r>
        <w:rPr>
          <w:rFonts w:eastAsia="楷体_GB2312" w:ascii="楷体_GB2312" w:hAnsi="楷体_GB2312"/>
          <w:b/>
          <w:sz w:val="24"/>
        </w:rPr>
      </w:r>
    </w:p>
    <w:p>
      <w:pPr>
        <w:pStyle w:val="Normal"/>
        <w:bidi w:val="0"/>
        <w:spacing w:lineRule="exact" w:line="700"/>
        <w:ind w:start="-424" w:end="-567" w:firstLine="624"/>
        <w:jc w:val="start"/>
        <w:rPr>
          <w:rFonts w:ascii="微软雅黑" w:hAnsi="微软雅黑" w:eastAsia="微软雅黑"/>
          <w:sz w:val="32"/>
          <w:szCs w:val="32"/>
        </w:rPr>
      </w:pPr>
      <w:r>
        <w:rPr>
          <w:rFonts w:ascii="微软雅黑" w:hAnsi="微软雅黑" w:eastAsia="微软雅黑"/>
          <w:b/>
          <w:sz w:val="32"/>
          <w:szCs w:val="32"/>
        </w:rPr>
        <w:t>说明：</w:t>
      </w:r>
      <w:r>
        <w:rPr>
          <w:rFonts w:ascii="微软雅黑" w:hAnsi="微软雅黑" w:eastAsia="微软雅黑"/>
          <w:sz w:val="32"/>
          <w:szCs w:val="32"/>
        </w:rPr>
        <w:t>本表格列出了行政管理部门常用的关键绩效考核指标（</w:t>
      </w:r>
      <w:r>
        <w:rPr>
          <w:rFonts w:eastAsia="微软雅黑" w:ascii="微软雅黑" w:hAnsi="微软雅黑"/>
          <w:sz w:val="32"/>
          <w:szCs w:val="32"/>
        </w:rPr>
        <w:t>KPI</w:t>
      </w:r>
      <w:r>
        <w:rPr>
          <w:rFonts w:ascii="微软雅黑" w:hAnsi="微软雅黑" w:eastAsia="微软雅黑"/>
          <w:sz w:val="32"/>
          <w:szCs w:val="32"/>
        </w:rPr>
        <w:t>指标）内容，共</w:t>
      </w:r>
      <w:r>
        <w:rPr>
          <w:rFonts w:eastAsia="微软雅黑" w:ascii="微软雅黑" w:hAnsi="微软雅黑"/>
          <w:b/>
          <w:color w:val="FF0000"/>
          <w:sz w:val="32"/>
          <w:szCs w:val="32"/>
        </w:rPr>
        <w:t>60</w:t>
      </w:r>
      <w:r>
        <w:rPr>
          <w:rFonts w:ascii="微软雅黑" w:hAnsi="微软雅黑" w:eastAsia="微软雅黑"/>
          <w:b/>
          <w:color w:val="FF0000"/>
          <w:sz w:val="32"/>
          <w:szCs w:val="32"/>
        </w:rPr>
        <w:t>余项</w:t>
      </w:r>
      <w:r>
        <w:rPr>
          <w:rFonts w:ascii="微软雅黑" w:hAnsi="微软雅黑" w:eastAsia="微软雅黑"/>
          <w:sz w:val="32"/>
          <w:szCs w:val="32"/>
        </w:rPr>
        <w:t>。</w:t>
      </w:r>
      <w:r>
        <w:rPr>
          <w:rFonts w:ascii="微软雅黑" w:hAnsi="微软雅黑" w:eastAsia="微软雅黑"/>
          <w:b/>
          <w:sz w:val="32"/>
          <w:szCs w:val="32"/>
        </w:rPr>
        <w:t>具体包括各项指标的名称、指标定义或者计算公式、指标详细说明、指标性质（基于平衡计分卡分类）、考核周期、适用范围（主要指职位）以及数据来源说明，所列指标还按照该部门的工作职能进行了科学分类。</w:t>
      </w:r>
      <w:r>
        <w:rPr>
          <w:rFonts w:ascii="微软雅黑" w:hAnsi="微软雅黑" w:eastAsia="微软雅黑"/>
          <w:sz w:val="32"/>
          <w:szCs w:val="32"/>
        </w:rPr>
        <w:t>这样，使用者就可以根据工作职能范畴或者具体的工作岗位迅速找到对应的</w:t>
      </w:r>
      <w:r>
        <w:rPr>
          <w:rFonts w:eastAsia="微软雅黑" w:ascii="微软雅黑" w:hAnsi="微软雅黑"/>
          <w:sz w:val="32"/>
          <w:szCs w:val="32"/>
        </w:rPr>
        <w:t>KPI</w:t>
      </w:r>
      <w:r>
        <w:rPr>
          <w:rFonts w:ascii="微软雅黑" w:hAnsi="微软雅黑" w:eastAsia="微软雅黑"/>
          <w:sz w:val="32"/>
          <w:szCs w:val="32"/>
        </w:rPr>
        <w:t>指标，同时还可以按照平衡计分卡的形式对所选指标进行重新组合，从而快速、准确、有效的为某岗位设置基于平衡计分卡的</w:t>
      </w:r>
      <w:r>
        <w:rPr>
          <w:rFonts w:eastAsia="微软雅黑" w:ascii="微软雅黑" w:hAnsi="微软雅黑"/>
          <w:sz w:val="32"/>
          <w:szCs w:val="32"/>
        </w:rPr>
        <w:t>KPI</w:t>
      </w:r>
      <w:r>
        <w:rPr>
          <w:rFonts w:ascii="微软雅黑" w:hAnsi="微软雅黑" w:eastAsia="微软雅黑"/>
          <w:sz w:val="32"/>
          <w:szCs w:val="32"/>
        </w:rPr>
        <w:t>指标。</w:t>
      </w:r>
    </w:p>
    <w:p>
      <w:pPr>
        <w:pStyle w:val="Normal"/>
        <w:bidi w:val="0"/>
        <w:spacing w:lineRule="exact" w:line="700"/>
        <w:ind w:start="-424" w:end="-567" w:firstLine="624"/>
        <w:jc w:val="start"/>
        <w:rPr>
          <w:rFonts w:ascii="微软雅黑" w:hAnsi="微软雅黑" w:eastAsia="微软雅黑"/>
          <w:sz w:val="32"/>
          <w:szCs w:val="32"/>
        </w:rPr>
      </w:pPr>
      <w:r>
        <w:rPr>
          <w:rFonts w:ascii="微软雅黑" w:hAnsi="微软雅黑" w:eastAsia="微软雅黑"/>
          <w:sz w:val="32"/>
          <w:szCs w:val="32"/>
        </w:rPr>
        <w:t>当然，需要注意的是，所列指标的分类方式、具体内容仅供参考，使用者不可盲目的选取使用。尤其是在</w:t>
      </w:r>
      <w:r>
        <w:rPr>
          <w:rFonts w:eastAsia="微软雅黑" w:ascii="微软雅黑" w:hAnsi="微软雅黑"/>
          <w:sz w:val="32"/>
          <w:szCs w:val="32"/>
        </w:rPr>
        <w:t>KPI</w:t>
      </w:r>
      <w:r>
        <w:rPr>
          <w:rFonts w:ascii="微软雅黑" w:hAnsi="微软雅黑" w:eastAsia="微软雅黑"/>
          <w:sz w:val="32"/>
          <w:szCs w:val="32"/>
        </w:rPr>
        <w:t>指标设定工作中，一方面需要遵循胜任力素质模型、</w:t>
      </w:r>
      <w:r>
        <w:rPr>
          <w:rFonts w:eastAsia="微软雅黑" w:ascii="微软雅黑" w:hAnsi="微软雅黑"/>
          <w:sz w:val="32"/>
          <w:szCs w:val="32"/>
        </w:rPr>
        <w:t>BSC</w:t>
      </w:r>
      <w:r>
        <w:rPr>
          <w:rFonts w:ascii="微软雅黑" w:hAnsi="微软雅黑" w:eastAsia="微软雅黑"/>
          <w:sz w:val="32"/>
          <w:szCs w:val="32"/>
        </w:rPr>
        <w:t>、</w:t>
      </w:r>
      <w:r>
        <w:rPr>
          <w:rFonts w:eastAsia="微软雅黑" w:ascii="微软雅黑" w:hAnsi="微软雅黑"/>
          <w:sz w:val="32"/>
          <w:szCs w:val="32"/>
        </w:rPr>
        <w:t>MBO</w:t>
      </w:r>
      <w:r>
        <w:rPr>
          <w:rFonts w:ascii="微软雅黑" w:hAnsi="微软雅黑" w:eastAsia="微软雅黑"/>
          <w:sz w:val="32"/>
          <w:szCs w:val="32"/>
        </w:rPr>
        <w:t>管理、</w:t>
      </w:r>
      <w:r>
        <w:rPr>
          <w:rFonts w:eastAsia="微软雅黑" w:ascii="微软雅黑" w:hAnsi="微软雅黑"/>
          <w:sz w:val="32"/>
          <w:szCs w:val="32"/>
        </w:rPr>
        <w:t>KPI</w:t>
      </w:r>
      <w:r>
        <w:rPr>
          <w:rFonts w:ascii="微软雅黑" w:hAnsi="微软雅黑" w:eastAsia="微软雅黑"/>
          <w:sz w:val="32"/>
          <w:szCs w:val="32"/>
        </w:rPr>
        <w:t>设定原则等基本理论而进行操作使用；另一方面应根据企业性质特征、具体职位要求就所列指标进行适当的调整或者灵活选取应用。</w:t>
      </w:r>
    </w:p>
    <w:p>
      <w:pPr>
        <w:pStyle w:val="Normal"/>
        <w:bidi w:val="0"/>
        <w:spacing w:lineRule="exact" w:line="700"/>
        <w:ind w:start="-424" w:end="-567" w:firstLine="624"/>
        <w:jc w:val="start"/>
        <w:rPr>
          <w:rFonts w:ascii="微软雅黑" w:hAnsi="微软雅黑" w:eastAsia="微软雅黑"/>
          <w:sz w:val="32"/>
          <w:szCs w:val="32"/>
        </w:rPr>
      </w:pPr>
      <w:r>
        <w:rPr>
          <w:rFonts w:eastAsia="微软雅黑" w:ascii="微软雅黑" w:hAnsi="微软雅黑"/>
          <w:sz w:val="32"/>
          <w:szCs w:val="32"/>
        </w:rPr>
      </w:r>
    </w:p>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sectPr>
          <w:headerReference w:type="default" r:id="rId5"/>
          <w:footerReference w:type="default" r:id="rId6"/>
          <w:type w:val="nextPage"/>
          <w:pgSz w:w="11906" w:h="16838"/>
          <w:pgMar w:left="1701" w:right="1701" w:header="567" w:top="1440" w:footer="992" w:bottom="1049" w:gutter="0"/>
          <w:pgNumType w:fmt="decimal"/>
          <w:formProt w:val="false"/>
          <w:textDirection w:val="lrTb"/>
          <w:docGrid w:type="lines" w:linePitch="312" w:charSpace="0"/>
        </w:sect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tbl>
      <w:tblPr>
        <w:tblStyle w:val="19"/>
        <w:tblW w:w="16018" w:type="dxa"/>
        <w:jc w:val="start"/>
        <w:tblInd w:w="-459" w:type="dxa"/>
        <w:tblLayout w:type="fixed"/>
        <w:tblCellMar>
          <w:top w:w="0" w:type="dxa"/>
          <w:start w:w="108" w:type="dxa"/>
          <w:bottom w:w="0" w:type="dxa"/>
          <w:end w:w="108" w:type="dxa"/>
        </w:tblCellMar>
      </w:tblPr>
      <w:tblGrid>
        <w:gridCol w:w="1300"/>
        <w:gridCol w:w="1240"/>
        <w:gridCol w:w="1570"/>
        <w:gridCol w:w="3828"/>
        <w:gridCol w:w="2976"/>
        <w:gridCol w:w="1134"/>
        <w:gridCol w:w="851"/>
        <w:gridCol w:w="1134"/>
        <w:gridCol w:w="1134"/>
        <w:gridCol w:w="849"/>
      </w:tblGrid>
      <w:tr>
        <w:trPr>
          <w:tblHeader w:val="true"/>
          <w:trHeight w:val="660" w:hRule="atLeast"/>
        </w:trPr>
        <w:tc>
          <w:tcPr>
            <w:tcW w:w="1300" w:type="dxa"/>
            <w:tcBorders>
              <w:top w:val="single" w:sz="8" w:space="0" w:color="000000"/>
              <w:start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职能维度</w:t>
            </w:r>
            <w:r>
              <w:rPr>
                <w:rFonts w:cs="宋体" w:ascii="宋体" w:hAnsi="宋体"/>
                <w:b/>
                <w:bCs/>
                <w:color w:val="000000"/>
                <w:kern w:val="0"/>
                <w:sz w:val="22"/>
                <w:szCs w:val="22"/>
              </w:rPr>
              <w:t>/</w:t>
            </w:r>
            <w:r>
              <w:rPr>
                <w:rFonts w:ascii="宋体" w:hAnsi="宋体" w:cs="宋体"/>
                <w:b/>
                <w:bCs/>
                <w:color w:val="000000"/>
                <w:kern w:val="0"/>
                <w:sz w:val="22"/>
                <w:szCs w:val="22"/>
              </w:rPr>
              <w:t>考核项目</w:t>
            </w:r>
          </w:p>
        </w:tc>
        <w:tc>
          <w:tcPr>
            <w:tcW w:w="1240"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指标分类</w:t>
            </w:r>
          </w:p>
        </w:tc>
        <w:tc>
          <w:tcPr>
            <w:tcW w:w="1570"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cs="宋体" w:ascii="宋体" w:hAnsi="宋体"/>
                <w:b/>
                <w:bCs/>
                <w:color w:val="000000"/>
                <w:kern w:val="0"/>
                <w:sz w:val="22"/>
                <w:szCs w:val="22"/>
              </w:rPr>
              <w:t>KPI</w:t>
            </w:r>
            <w:r>
              <w:rPr>
                <w:rFonts w:ascii="宋体" w:hAnsi="宋体" w:cs="宋体"/>
                <w:b/>
                <w:bCs/>
                <w:color w:val="000000"/>
                <w:kern w:val="0"/>
                <w:sz w:val="22"/>
                <w:szCs w:val="22"/>
              </w:rPr>
              <w:t>指标名称</w:t>
            </w:r>
          </w:p>
        </w:tc>
        <w:tc>
          <w:tcPr>
            <w:tcW w:w="3828"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指标计算公式或者定义</w:t>
            </w:r>
          </w:p>
        </w:tc>
        <w:tc>
          <w:tcPr>
            <w:tcW w:w="2976"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说明</w:t>
            </w:r>
          </w:p>
        </w:tc>
        <w:tc>
          <w:tcPr>
            <w:tcW w:w="1134"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指标性质（</w:t>
            </w:r>
            <w:r>
              <w:rPr>
                <w:rFonts w:cs="宋体" w:ascii="宋体" w:hAnsi="宋体"/>
                <w:b/>
                <w:bCs/>
                <w:color w:val="000000"/>
                <w:kern w:val="0"/>
                <w:sz w:val="22"/>
                <w:szCs w:val="22"/>
              </w:rPr>
              <w:t>BSC</w:t>
            </w:r>
            <w:r>
              <w:rPr>
                <w:rFonts w:ascii="宋体" w:hAnsi="宋体" w:cs="宋体"/>
                <w:b/>
                <w:bCs/>
                <w:color w:val="000000"/>
                <w:kern w:val="0"/>
                <w:sz w:val="22"/>
                <w:szCs w:val="22"/>
              </w:rPr>
              <w:t>）</w:t>
            </w:r>
          </w:p>
        </w:tc>
        <w:tc>
          <w:tcPr>
            <w:tcW w:w="851"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考核周期</w:t>
            </w:r>
          </w:p>
        </w:tc>
        <w:tc>
          <w:tcPr>
            <w:tcW w:w="1134"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数据来源</w:t>
            </w:r>
          </w:p>
        </w:tc>
        <w:tc>
          <w:tcPr>
            <w:tcW w:w="1134" w:type="dxa"/>
            <w:tcBorders>
              <w:top w:val="single" w:sz="8" w:space="0" w:color="000000"/>
              <w:bottom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适合范围</w:t>
            </w:r>
          </w:p>
        </w:tc>
        <w:tc>
          <w:tcPr>
            <w:tcW w:w="849" w:type="dxa"/>
            <w:tcBorders>
              <w:top w:val="single" w:sz="8" w:space="0" w:color="000000"/>
              <w:start w:val="single" w:sz="4" w:space="0" w:color="000000"/>
              <w:bottom w:val="single" w:sz="4" w:space="0" w:color="000000"/>
              <w:end w:val="single" w:sz="8"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备注</w:t>
            </w:r>
          </w:p>
        </w:tc>
      </w:tr>
      <w:tr>
        <w:trPr>
          <w:trHeight w:val="1515" w:hRule="atLeast"/>
        </w:trPr>
        <w:tc>
          <w:tcPr>
            <w:tcW w:w="1300" w:type="dxa"/>
            <w:vMerge w:val="restart"/>
            <w:tcBorders>
              <w:start w:val="single" w:sz="8"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文件、档案及信息管理</w:t>
            </w:r>
          </w:p>
        </w:tc>
        <w:tc>
          <w:tcPr>
            <w:tcW w:w="1240"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文件完成及信息传递</w:t>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文件完成以及信息提交及时性</w:t>
            </w:r>
          </w:p>
        </w:tc>
        <w:tc>
          <w:tcPr>
            <w:tcW w:w="382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未及时办理或者完成规定提交的文件、信息，一次扣</w:t>
            </w:r>
            <w:r>
              <w:rPr>
                <w:rFonts w:cs="宋体" w:ascii="宋体" w:hAnsi="宋体"/>
                <w:color w:val="000000"/>
                <w:kern w:val="0"/>
                <w:sz w:val="22"/>
                <w:szCs w:val="22"/>
              </w:rPr>
              <w:t>1</w:t>
            </w:r>
            <w:r>
              <w:rPr>
                <w:rFonts w:ascii="宋体" w:hAnsi="宋体" w:cs="宋体"/>
                <w:color w:val="000000"/>
                <w:kern w:val="0"/>
                <w:sz w:val="22"/>
                <w:szCs w:val="22"/>
              </w:rPr>
              <w:t>分，最多扣</w:t>
            </w:r>
            <w:r>
              <w:rPr>
                <w:rFonts w:cs="宋体" w:ascii="宋体" w:hAnsi="宋体"/>
                <w:color w:val="000000"/>
                <w:kern w:val="0"/>
                <w:sz w:val="22"/>
                <w:szCs w:val="22"/>
              </w:rPr>
              <w:t>5</w:t>
            </w:r>
            <w:r>
              <w:rPr>
                <w:rFonts w:ascii="宋体" w:hAnsi="宋体" w:cs="宋体"/>
                <w:color w:val="000000"/>
                <w:kern w:val="0"/>
                <w:sz w:val="22"/>
                <w:szCs w:val="22"/>
              </w:rPr>
              <w:t>分。</w:t>
            </w:r>
          </w:p>
        </w:tc>
        <w:tc>
          <w:tcPr>
            <w:tcW w:w="297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文件、档案及信息包括公司拟定的管理规定、领导发言稿、重要电话记录、会议记录、各类工作报告、信息报告、公司资质文件、合同审批、领导要求整理的有关信息数据等等。</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85"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文件及信息提交完成合格率</w:t>
            </w:r>
            <w:r>
              <w:rPr>
                <w:rFonts w:cs="宋体" w:ascii="宋体" w:hAnsi="宋体"/>
                <w:color w:val="000000"/>
                <w:kern w:val="0"/>
                <w:sz w:val="22"/>
                <w:szCs w:val="22"/>
              </w:rPr>
              <w:t>/</w:t>
            </w:r>
            <w:r>
              <w:rPr>
                <w:rFonts w:ascii="宋体" w:hAnsi="宋体" w:cs="宋体"/>
                <w:color w:val="000000"/>
                <w:kern w:val="0"/>
                <w:sz w:val="22"/>
                <w:szCs w:val="22"/>
              </w:rPr>
              <w:t>质量</w:t>
            </w:r>
          </w:p>
        </w:tc>
        <w:tc>
          <w:tcPr>
            <w:tcW w:w="382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文件、信息提交完成质量不合格，一次扣</w:t>
            </w:r>
            <w:r>
              <w:rPr>
                <w:rFonts w:cs="宋体" w:ascii="宋体" w:hAnsi="宋体"/>
                <w:color w:val="000000"/>
                <w:kern w:val="0"/>
                <w:sz w:val="22"/>
                <w:szCs w:val="22"/>
              </w:rPr>
              <w:t>2</w:t>
            </w:r>
            <w:r>
              <w:rPr>
                <w:rFonts w:ascii="宋体" w:hAnsi="宋体" w:cs="宋体"/>
                <w:color w:val="000000"/>
                <w:kern w:val="0"/>
                <w:sz w:val="22"/>
                <w:szCs w:val="22"/>
              </w:rPr>
              <w:t>分，扣完为止。合格标准依据公司相关管理规定或者领导的评判意见。</w:t>
            </w:r>
          </w:p>
        </w:tc>
        <w:tc>
          <w:tcPr>
            <w:tcW w:w="297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85"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信息传递及时性及准确性</w:t>
            </w:r>
          </w:p>
        </w:tc>
        <w:tc>
          <w:tcPr>
            <w:tcW w:w="382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主要指各类通知、文件资料、数据报告、重要信息等上传下达的及时性及准确性，一次不及时或者不准确，扣</w:t>
            </w:r>
            <w:r>
              <w:rPr>
                <w:rFonts w:cs="宋体" w:ascii="宋体" w:hAnsi="宋体"/>
                <w:color w:val="000000"/>
                <w:kern w:val="0"/>
                <w:sz w:val="22"/>
                <w:szCs w:val="22"/>
              </w:rPr>
              <w:t>2</w:t>
            </w:r>
            <w:r>
              <w:rPr>
                <w:rFonts w:ascii="宋体" w:hAnsi="宋体" w:cs="宋体"/>
                <w:color w:val="000000"/>
                <w:kern w:val="0"/>
                <w:sz w:val="22"/>
                <w:szCs w:val="22"/>
              </w:rPr>
              <w:t>分，扣完为止。</w:t>
            </w:r>
          </w:p>
        </w:tc>
        <w:tc>
          <w:tcPr>
            <w:tcW w:w="297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065"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文件归档管理</w:t>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各类文件、材料、信息归档及时性</w:t>
            </w:r>
          </w:p>
        </w:tc>
        <w:tc>
          <w:tcPr>
            <w:tcW w:w="382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未及时归档或整理，一次扣</w:t>
            </w:r>
            <w:r>
              <w:rPr>
                <w:rFonts w:cs="宋体" w:ascii="宋体" w:hAnsi="宋体"/>
                <w:color w:val="000000"/>
                <w:kern w:val="0"/>
                <w:sz w:val="22"/>
                <w:szCs w:val="22"/>
              </w:rPr>
              <w:t>1</w:t>
            </w:r>
            <w:r>
              <w:rPr>
                <w:rFonts w:ascii="宋体" w:hAnsi="宋体" w:cs="宋体"/>
                <w:color w:val="000000"/>
                <w:kern w:val="0"/>
                <w:sz w:val="22"/>
                <w:szCs w:val="22"/>
              </w:rPr>
              <w:t>分，最多扣</w:t>
            </w:r>
            <w:r>
              <w:rPr>
                <w:rFonts w:cs="宋体" w:ascii="宋体" w:hAnsi="宋体"/>
                <w:color w:val="000000"/>
                <w:kern w:val="0"/>
                <w:sz w:val="22"/>
                <w:szCs w:val="22"/>
              </w:rPr>
              <w:t>5</w:t>
            </w:r>
            <w:r>
              <w:rPr>
                <w:rFonts w:ascii="宋体" w:hAnsi="宋体" w:cs="宋体"/>
                <w:color w:val="000000"/>
                <w:kern w:val="0"/>
                <w:sz w:val="22"/>
                <w:szCs w:val="22"/>
              </w:rPr>
              <w:t>分。具体归档、整理要求，依据公司相关管理规定，不同的文件、材料要求应该有所不同。</w:t>
            </w:r>
          </w:p>
        </w:tc>
        <w:tc>
          <w:tcPr>
            <w:tcW w:w="297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7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档案资料完整性</w:t>
            </w:r>
          </w:p>
        </w:tc>
        <w:tc>
          <w:tcPr>
            <w:tcW w:w="382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分类准确无误，且完整、无遗漏。未按要求分类归档，每次扣</w:t>
            </w:r>
            <w:r>
              <w:rPr>
                <w:rFonts w:cs="宋体" w:ascii="宋体" w:hAnsi="宋体"/>
                <w:color w:val="000000"/>
                <w:kern w:val="0"/>
                <w:sz w:val="22"/>
                <w:szCs w:val="22"/>
              </w:rPr>
              <w:t>2</w:t>
            </w:r>
            <w:r>
              <w:rPr>
                <w:rFonts w:ascii="宋体" w:hAnsi="宋体" w:cs="宋体"/>
                <w:color w:val="000000"/>
                <w:kern w:val="0"/>
                <w:sz w:val="22"/>
                <w:szCs w:val="22"/>
              </w:rPr>
              <w:t>分，扣完为止；未能有效地保管，则此项配分全扣。</w:t>
            </w:r>
          </w:p>
        </w:tc>
        <w:tc>
          <w:tcPr>
            <w:tcW w:w="297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7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档案资料保管的规范性</w:t>
            </w:r>
          </w:p>
        </w:tc>
        <w:tc>
          <w:tcPr>
            <w:tcW w:w="382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出现不规范现象一次，扣</w:t>
            </w:r>
            <w:r>
              <w:rPr>
                <w:rFonts w:cs="宋体" w:ascii="宋体" w:hAnsi="宋体"/>
                <w:color w:val="000000"/>
                <w:kern w:val="0"/>
                <w:sz w:val="22"/>
                <w:szCs w:val="22"/>
              </w:rPr>
              <w:t>2</w:t>
            </w:r>
            <w:r>
              <w:rPr>
                <w:rFonts w:ascii="宋体" w:hAnsi="宋体" w:cs="宋体"/>
                <w:color w:val="000000"/>
                <w:kern w:val="0"/>
                <w:sz w:val="22"/>
                <w:szCs w:val="22"/>
              </w:rPr>
              <w:t>分，最多扣</w:t>
            </w:r>
            <w:r>
              <w:rPr>
                <w:rFonts w:cs="宋体" w:ascii="宋体" w:hAnsi="宋体"/>
                <w:color w:val="000000"/>
                <w:kern w:val="0"/>
                <w:sz w:val="22"/>
                <w:szCs w:val="22"/>
              </w:rPr>
              <w:t>20</w:t>
            </w:r>
            <w:r>
              <w:rPr>
                <w:rFonts w:ascii="宋体" w:hAnsi="宋体" w:cs="宋体"/>
                <w:color w:val="000000"/>
                <w:kern w:val="0"/>
                <w:sz w:val="22"/>
                <w:szCs w:val="22"/>
              </w:rPr>
              <w:t>分。不规范是指没有按照公司《档案管理规定》进行档案资料保管。</w:t>
            </w:r>
          </w:p>
        </w:tc>
        <w:tc>
          <w:tcPr>
            <w:tcW w:w="297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7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各类文件、材料、信息归档准确性</w:t>
            </w:r>
          </w:p>
        </w:tc>
        <w:tc>
          <w:tcPr>
            <w:tcW w:w="382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归档、整理出现错误，一次扣</w:t>
            </w:r>
            <w:r>
              <w:rPr>
                <w:rFonts w:cs="宋体" w:ascii="宋体" w:hAnsi="宋体"/>
                <w:color w:val="000000"/>
                <w:kern w:val="0"/>
                <w:sz w:val="22"/>
                <w:szCs w:val="22"/>
              </w:rPr>
              <w:t>1</w:t>
            </w:r>
            <w:r>
              <w:rPr>
                <w:rFonts w:ascii="宋体" w:hAnsi="宋体" w:cs="宋体"/>
                <w:color w:val="000000"/>
                <w:kern w:val="0"/>
                <w:sz w:val="22"/>
                <w:szCs w:val="22"/>
              </w:rPr>
              <w:t>分，最多扣</w:t>
            </w:r>
            <w:r>
              <w:rPr>
                <w:rFonts w:cs="宋体" w:ascii="宋体" w:hAnsi="宋体"/>
                <w:color w:val="000000"/>
                <w:kern w:val="0"/>
                <w:sz w:val="22"/>
                <w:szCs w:val="22"/>
              </w:rPr>
              <w:t>5</w:t>
            </w:r>
            <w:r>
              <w:rPr>
                <w:rFonts w:ascii="宋体" w:hAnsi="宋体" w:cs="宋体"/>
                <w:color w:val="000000"/>
                <w:kern w:val="0"/>
                <w:sz w:val="22"/>
                <w:szCs w:val="22"/>
              </w:rPr>
              <w:t>分。错误主要指文档归档记录、存档位置等出现差错。</w:t>
            </w:r>
          </w:p>
        </w:tc>
        <w:tc>
          <w:tcPr>
            <w:tcW w:w="297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7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数据库管理</w:t>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公司数据库建设（包括在线数据库）</w:t>
            </w:r>
          </w:p>
        </w:tc>
        <w:tc>
          <w:tcPr>
            <w:tcW w:w="382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包括各类数据、信息的归类整理。未按《数据信息管理规定》完成工作，一次扣</w:t>
            </w:r>
            <w:r>
              <w:rPr>
                <w:rFonts w:cs="宋体" w:ascii="宋体" w:hAnsi="宋体"/>
                <w:color w:val="000000"/>
                <w:kern w:val="0"/>
                <w:sz w:val="22"/>
                <w:szCs w:val="22"/>
              </w:rPr>
              <w:t>5</w:t>
            </w:r>
            <w:r>
              <w:rPr>
                <w:rFonts w:ascii="宋体" w:hAnsi="宋体" w:cs="宋体"/>
                <w:color w:val="000000"/>
                <w:kern w:val="0"/>
                <w:sz w:val="22"/>
                <w:szCs w:val="22"/>
              </w:rPr>
              <w:t>分，最多扣</w:t>
            </w:r>
            <w:r>
              <w:rPr>
                <w:rFonts w:cs="宋体" w:ascii="宋体" w:hAnsi="宋体"/>
                <w:color w:val="000000"/>
                <w:kern w:val="0"/>
                <w:sz w:val="22"/>
                <w:szCs w:val="22"/>
              </w:rPr>
              <w:t>20</w:t>
            </w:r>
            <w:r>
              <w:rPr>
                <w:rFonts w:ascii="宋体" w:hAnsi="宋体" w:cs="宋体"/>
                <w:color w:val="000000"/>
                <w:kern w:val="0"/>
                <w:sz w:val="22"/>
                <w:szCs w:val="22"/>
              </w:rPr>
              <w:t>分。</w:t>
            </w:r>
          </w:p>
        </w:tc>
        <w:tc>
          <w:tcPr>
            <w:tcW w:w="297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行政管理部、信息部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档案管理员、行政主管以上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065"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保密管理</w:t>
            </w:r>
          </w:p>
        </w:tc>
        <w:tc>
          <w:tcPr>
            <w:tcW w:w="382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数据信息（包括法律相关信息与文件）泄露发生一次，影响不大的扣</w:t>
            </w:r>
            <w:r>
              <w:rPr>
                <w:rFonts w:cs="宋体" w:ascii="宋体" w:hAnsi="宋体"/>
                <w:color w:val="000000"/>
                <w:kern w:val="0"/>
                <w:sz w:val="22"/>
                <w:szCs w:val="22"/>
              </w:rPr>
              <w:t>5</w:t>
            </w:r>
            <w:r>
              <w:rPr>
                <w:rFonts w:ascii="宋体" w:hAnsi="宋体" w:cs="宋体"/>
                <w:color w:val="000000"/>
                <w:kern w:val="0"/>
                <w:sz w:val="22"/>
                <w:szCs w:val="22"/>
              </w:rPr>
              <w:t>分，造成公司严重损失的，此项配分全无，且追求其法律责任。</w:t>
            </w:r>
          </w:p>
        </w:tc>
        <w:tc>
          <w:tcPr>
            <w:tcW w:w="297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65" w:hRule="atLeast"/>
        </w:trPr>
        <w:tc>
          <w:tcPr>
            <w:tcW w:w="1300" w:type="dxa"/>
            <w:vMerge w:val="restart"/>
            <w:tcBorders>
              <w:top w:val="single" w:sz="4" w:space="0" w:color="000000"/>
              <w:start w:val="single" w:sz="8"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会议及活动（内部活动，例如年会、员工活动）组织与管理</w:t>
            </w:r>
          </w:p>
        </w:tc>
        <w:tc>
          <w:tcPr>
            <w:tcW w:w="1240"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组织与安排</w:t>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组织与安排的及时性</w:t>
            </w:r>
          </w:p>
        </w:tc>
        <w:tc>
          <w:tcPr>
            <w:tcW w:w="382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未及时组织并安排公司定期及不定期的会议以及各类活动，一次扣</w:t>
            </w:r>
            <w:r>
              <w:rPr>
                <w:rFonts w:cs="宋体" w:ascii="宋体" w:hAnsi="宋体"/>
                <w:color w:val="000000"/>
                <w:kern w:val="0"/>
                <w:sz w:val="22"/>
                <w:szCs w:val="22"/>
              </w:rPr>
              <w:t>1</w:t>
            </w:r>
            <w:r>
              <w:rPr>
                <w:rFonts w:ascii="宋体" w:hAnsi="宋体" w:cs="宋体"/>
                <w:color w:val="000000"/>
                <w:kern w:val="0"/>
                <w:sz w:val="22"/>
                <w:szCs w:val="22"/>
              </w:rPr>
              <w:t>分，最多扣</w:t>
            </w:r>
            <w:r>
              <w:rPr>
                <w:rFonts w:cs="宋体" w:ascii="宋体" w:hAnsi="宋体"/>
                <w:color w:val="000000"/>
                <w:kern w:val="0"/>
                <w:sz w:val="22"/>
                <w:szCs w:val="22"/>
              </w:rPr>
              <w:t>5</w:t>
            </w:r>
            <w:r>
              <w:rPr>
                <w:rFonts w:ascii="宋体" w:hAnsi="宋体" w:cs="宋体"/>
                <w:color w:val="000000"/>
                <w:kern w:val="0"/>
                <w:sz w:val="22"/>
                <w:szCs w:val="22"/>
              </w:rPr>
              <w:t>分。</w:t>
            </w:r>
          </w:p>
        </w:tc>
        <w:tc>
          <w:tcPr>
            <w:tcW w:w="297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行政秘书、行政主管以上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065" w:hRule="atLeast"/>
        </w:trPr>
        <w:tc>
          <w:tcPr>
            <w:tcW w:w="1300" w:type="dxa"/>
            <w:vMerge w:val="continue"/>
            <w:tcBorders>
              <w:top w:val="single" w:sz="4" w:space="0" w:color="000000"/>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组织与安排的准确性</w:t>
            </w:r>
          </w:p>
        </w:tc>
        <w:tc>
          <w:tcPr>
            <w:tcW w:w="382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会议或者活动组织、安排出现错误，一次扣</w:t>
            </w:r>
            <w:r>
              <w:rPr>
                <w:rFonts w:cs="宋体" w:ascii="宋体" w:hAnsi="宋体"/>
                <w:color w:val="000000"/>
                <w:kern w:val="0"/>
                <w:sz w:val="22"/>
                <w:szCs w:val="22"/>
              </w:rPr>
              <w:t>2</w:t>
            </w:r>
            <w:r>
              <w:rPr>
                <w:rFonts w:ascii="宋体" w:hAnsi="宋体" w:cs="宋体"/>
                <w:color w:val="000000"/>
                <w:kern w:val="0"/>
                <w:sz w:val="22"/>
                <w:szCs w:val="22"/>
              </w:rPr>
              <w:t>分，扣完为止。错误主要指会议室安排冲突、通知错误等。</w:t>
            </w:r>
          </w:p>
        </w:tc>
        <w:tc>
          <w:tcPr>
            <w:tcW w:w="297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行政秘书、行政主管以上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65" w:hRule="atLeast"/>
        </w:trPr>
        <w:tc>
          <w:tcPr>
            <w:tcW w:w="1300" w:type="dxa"/>
            <w:vMerge w:val="continue"/>
            <w:tcBorders>
              <w:top w:val="single" w:sz="4" w:space="0" w:color="000000"/>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会议及活动执行情况</w:t>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完成质量</w:t>
            </w:r>
          </w:p>
        </w:tc>
        <w:tc>
          <w:tcPr>
            <w:tcW w:w="382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会议及活动的完成符合计划要求，且达到预期效果。未达成，一次扣</w:t>
            </w:r>
            <w:r>
              <w:rPr>
                <w:rFonts w:cs="宋体" w:ascii="宋体" w:hAnsi="宋体"/>
                <w:color w:val="000000"/>
                <w:kern w:val="0"/>
                <w:sz w:val="22"/>
                <w:szCs w:val="22"/>
              </w:rPr>
              <w:t>2</w:t>
            </w:r>
            <w:r>
              <w:rPr>
                <w:rFonts w:ascii="宋体" w:hAnsi="宋体" w:cs="宋体"/>
                <w:color w:val="000000"/>
                <w:kern w:val="0"/>
                <w:sz w:val="22"/>
                <w:szCs w:val="22"/>
              </w:rPr>
              <w:t>分，最多扣</w:t>
            </w:r>
            <w:r>
              <w:rPr>
                <w:rFonts w:cs="宋体" w:ascii="宋体" w:hAnsi="宋体"/>
                <w:color w:val="000000"/>
                <w:kern w:val="0"/>
                <w:sz w:val="22"/>
                <w:szCs w:val="22"/>
              </w:rPr>
              <w:t>10</w:t>
            </w:r>
            <w:r>
              <w:rPr>
                <w:rFonts w:ascii="宋体" w:hAnsi="宋体" w:cs="宋体"/>
                <w:color w:val="000000"/>
                <w:kern w:val="0"/>
                <w:sz w:val="22"/>
                <w:szCs w:val="22"/>
              </w:rPr>
              <w:t>分。</w:t>
            </w:r>
          </w:p>
        </w:tc>
        <w:tc>
          <w:tcPr>
            <w:tcW w:w="297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行政秘书、行政主管以上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40" w:hRule="atLeast"/>
        </w:trPr>
        <w:tc>
          <w:tcPr>
            <w:tcW w:w="1300" w:type="dxa"/>
            <w:vMerge w:val="continue"/>
            <w:tcBorders>
              <w:top w:val="single" w:sz="4" w:space="0" w:color="000000"/>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服务能力</w:t>
            </w:r>
          </w:p>
        </w:tc>
        <w:tc>
          <w:tcPr>
            <w:tcW w:w="382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会议及活动服务遭员工投诉，一次扣</w:t>
            </w:r>
            <w:r>
              <w:rPr>
                <w:rFonts w:cs="宋体" w:ascii="宋体" w:hAnsi="宋体"/>
                <w:color w:val="000000"/>
                <w:kern w:val="0"/>
                <w:sz w:val="22"/>
                <w:szCs w:val="22"/>
              </w:rPr>
              <w:t>2</w:t>
            </w:r>
            <w:r>
              <w:rPr>
                <w:rFonts w:ascii="宋体" w:hAnsi="宋体" w:cs="宋体"/>
                <w:color w:val="000000"/>
                <w:kern w:val="0"/>
                <w:sz w:val="22"/>
                <w:szCs w:val="22"/>
              </w:rPr>
              <w:t>分，最多扣</w:t>
            </w:r>
            <w:r>
              <w:rPr>
                <w:rFonts w:cs="宋体" w:ascii="宋体" w:hAnsi="宋体"/>
                <w:color w:val="000000"/>
                <w:kern w:val="0"/>
                <w:sz w:val="22"/>
                <w:szCs w:val="22"/>
              </w:rPr>
              <w:t>10</w:t>
            </w:r>
            <w:r>
              <w:rPr>
                <w:rFonts w:ascii="宋体" w:hAnsi="宋体" w:cs="宋体"/>
                <w:color w:val="000000"/>
                <w:kern w:val="0"/>
                <w:sz w:val="22"/>
                <w:szCs w:val="22"/>
              </w:rPr>
              <w:t>分。</w:t>
            </w:r>
          </w:p>
        </w:tc>
        <w:tc>
          <w:tcPr>
            <w:tcW w:w="297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行政秘书、行政主管以上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95" w:hRule="atLeast"/>
        </w:trPr>
        <w:tc>
          <w:tcPr>
            <w:tcW w:w="1300" w:type="dxa"/>
            <w:vMerge w:val="restart"/>
            <w:tcBorders>
              <w:top w:val="single" w:sz="4" w:space="0" w:color="000000"/>
              <w:start w:val="single" w:sz="8"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来客接待与内部领导、员工差旅安排</w:t>
            </w:r>
          </w:p>
        </w:tc>
        <w:tc>
          <w:tcPr>
            <w:tcW w:w="1240"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来客接待</w:t>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接待的及时性</w:t>
            </w:r>
          </w:p>
        </w:tc>
        <w:tc>
          <w:tcPr>
            <w:tcW w:w="382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未及时接待来访客人，一次扣</w:t>
            </w:r>
            <w:r>
              <w:rPr>
                <w:rFonts w:cs="宋体" w:ascii="宋体" w:hAnsi="宋体"/>
                <w:color w:val="000000"/>
                <w:kern w:val="0"/>
                <w:sz w:val="22"/>
                <w:szCs w:val="22"/>
              </w:rPr>
              <w:t>1</w:t>
            </w:r>
            <w:r>
              <w:rPr>
                <w:rFonts w:ascii="宋体" w:hAnsi="宋体" w:cs="宋体"/>
                <w:color w:val="000000"/>
                <w:kern w:val="0"/>
                <w:sz w:val="22"/>
                <w:szCs w:val="22"/>
              </w:rPr>
              <w:t>分，最多扣</w:t>
            </w:r>
            <w:r>
              <w:rPr>
                <w:rFonts w:cs="宋体" w:ascii="宋体" w:hAnsi="宋体"/>
                <w:color w:val="000000"/>
                <w:kern w:val="0"/>
                <w:sz w:val="22"/>
                <w:szCs w:val="22"/>
              </w:rPr>
              <w:t>5</w:t>
            </w:r>
            <w:r>
              <w:rPr>
                <w:rFonts w:ascii="宋体" w:hAnsi="宋体" w:cs="宋体"/>
                <w:color w:val="000000"/>
                <w:kern w:val="0"/>
                <w:sz w:val="22"/>
                <w:szCs w:val="22"/>
              </w:rPr>
              <w:t>分。</w:t>
            </w:r>
          </w:p>
        </w:tc>
        <w:tc>
          <w:tcPr>
            <w:tcW w:w="297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行政管理部、客户满意度</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行政秘书、前台、司机、行政主管以上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15" w:hRule="atLeast"/>
        </w:trPr>
        <w:tc>
          <w:tcPr>
            <w:tcW w:w="1300" w:type="dxa"/>
            <w:vMerge w:val="continue"/>
            <w:tcBorders>
              <w:top w:val="single" w:sz="4" w:space="0" w:color="000000"/>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接待的工作质量</w:t>
            </w:r>
          </w:p>
        </w:tc>
        <w:tc>
          <w:tcPr>
            <w:tcW w:w="382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接待工作不符合标准与要求，一次扣</w:t>
            </w:r>
            <w:r>
              <w:rPr>
                <w:rFonts w:cs="宋体" w:ascii="宋体" w:hAnsi="宋体"/>
                <w:color w:val="000000"/>
                <w:kern w:val="0"/>
                <w:sz w:val="22"/>
                <w:szCs w:val="22"/>
              </w:rPr>
              <w:t>1</w:t>
            </w:r>
            <w:r>
              <w:rPr>
                <w:rFonts w:ascii="宋体" w:hAnsi="宋体" w:cs="宋体"/>
                <w:color w:val="000000"/>
                <w:kern w:val="0"/>
                <w:sz w:val="22"/>
                <w:szCs w:val="22"/>
              </w:rPr>
              <w:t>分，最多扣</w:t>
            </w:r>
            <w:r>
              <w:rPr>
                <w:rFonts w:cs="宋体" w:ascii="宋体" w:hAnsi="宋体"/>
                <w:color w:val="000000"/>
                <w:kern w:val="0"/>
                <w:sz w:val="22"/>
                <w:szCs w:val="22"/>
              </w:rPr>
              <w:t>5</w:t>
            </w:r>
            <w:r>
              <w:rPr>
                <w:rFonts w:ascii="宋体" w:hAnsi="宋体" w:cs="宋体"/>
                <w:color w:val="000000"/>
                <w:kern w:val="0"/>
                <w:sz w:val="22"/>
                <w:szCs w:val="22"/>
              </w:rPr>
              <w:t>分。</w:t>
            </w:r>
          </w:p>
        </w:tc>
        <w:tc>
          <w:tcPr>
            <w:tcW w:w="297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行政管理部、客户满意度</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行政秘书、前台、司机、行政主管以上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60" w:hRule="atLeast"/>
        </w:trPr>
        <w:tc>
          <w:tcPr>
            <w:tcW w:w="1300" w:type="dxa"/>
            <w:vMerge w:val="continue"/>
            <w:tcBorders>
              <w:top w:val="single" w:sz="4" w:space="0" w:color="000000"/>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tcBorders>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差旅安排</w:t>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差旅安排工作完成质量</w:t>
            </w:r>
          </w:p>
        </w:tc>
        <w:tc>
          <w:tcPr>
            <w:tcW w:w="382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出现不及时或者预订差错等，一次扣</w:t>
            </w:r>
            <w:r>
              <w:rPr>
                <w:rFonts w:cs="宋体" w:ascii="宋体" w:hAnsi="宋体"/>
                <w:color w:val="000000"/>
                <w:kern w:val="0"/>
                <w:sz w:val="22"/>
                <w:szCs w:val="22"/>
              </w:rPr>
              <w:t>2</w:t>
            </w:r>
            <w:r>
              <w:rPr>
                <w:rFonts w:ascii="宋体" w:hAnsi="宋体" w:cs="宋体"/>
                <w:color w:val="000000"/>
                <w:kern w:val="0"/>
                <w:sz w:val="22"/>
                <w:szCs w:val="22"/>
              </w:rPr>
              <w:t>分，最多扣</w:t>
            </w:r>
            <w:r>
              <w:rPr>
                <w:rFonts w:cs="宋体" w:ascii="宋体" w:hAnsi="宋体"/>
                <w:color w:val="000000"/>
                <w:kern w:val="0"/>
                <w:sz w:val="22"/>
                <w:szCs w:val="22"/>
              </w:rPr>
              <w:t>10</w:t>
            </w:r>
            <w:r>
              <w:rPr>
                <w:rFonts w:ascii="宋体" w:hAnsi="宋体" w:cs="宋体"/>
                <w:color w:val="000000"/>
                <w:kern w:val="0"/>
                <w:sz w:val="22"/>
                <w:szCs w:val="22"/>
              </w:rPr>
              <w:t>分。（严重影响公司的业务谈判或者重要事项安排，除了扣分以外，还将另行惩罚）</w:t>
            </w:r>
          </w:p>
        </w:tc>
        <w:tc>
          <w:tcPr>
            <w:tcW w:w="297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行政管理部、员工满意度</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行政秘书、前台、行政主管以上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35" w:hRule="atLeast"/>
        </w:trPr>
        <w:tc>
          <w:tcPr>
            <w:tcW w:w="1300" w:type="dxa"/>
            <w:vMerge w:val="continue"/>
            <w:tcBorders>
              <w:top w:val="single" w:sz="4" w:space="0" w:color="000000"/>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tcBorders>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内部服务态度</w:t>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工作服务态度</w:t>
            </w:r>
          </w:p>
        </w:tc>
        <w:tc>
          <w:tcPr>
            <w:tcW w:w="382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工作过程中遭内部员工或者客户投诉，一次扣</w:t>
            </w:r>
            <w:r>
              <w:rPr>
                <w:rFonts w:cs="宋体" w:ascii="宋体" w:hAnsi="宋体"/>
                <w:color w:val="000000"/>
                <w:kern w:val="0"/>
                <w:sz w:val="22"/>
                <w:szCs w:val="22"/>
              </w:rPr>
              <w:t>1</w:t>
            </w:r>
            <w:r>
              <w:rPr>
                <w:rFonts w:ascii="宋体" w:hAnsi="宋体" w:cs="宋体"/>
                <w:color w:val="000000"/>
                <w:kern w:val="0"/>
                <w:sz w:val="22"/>
                <w:szCs w:val="22"/>
              </w:rPr>
              <w:t>分，最多扣</w:t>
            </w:r>
            <w:r>
              <w:rPr>
                <w:rFonts w:cs="宋体" w:ascii="宋体" w:hAnsi="宋体"/>
                <w:color w:val="000000"/>
                <w:kern w:val="0"/>
                <w:sz w:val="22"/>
                <w:szCs w:val="22"/>
              </w:rPr>
              <w:t>5</w:t>
            </w:r>
            <w:r>
              <w:rPr>
                <w:rFonts w:ascii="宋体" w:hAnsi="宋体" w:cs="宋体"/>
                <w:color w:val="000000"/>
                <w:kern w:val="0"/>
                <w:sz w:val="22"/>
                <w:szCs w:val="22"/>
              </w:rPr>
              <w:t>分。</w:t>
            </w:r>
          </w:p>
        </w:tc>
        <w:tc>
          <w:tcPr>
            <w:tcW w:w="297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行政管理部、员工满意度</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行政秘书、前台、司机、行政主管以上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495" w:hRule="atLeast"/>
        </w:trPr>
        <w:tc>
          <w:tcPr>
            <w:tcW w:w="1300" w:type="dxa"/>
            <w:vMerge w:val="restart"/>
            <w:tcBorders>
              <w:top w:val="single" w:sz="4" w:space="0" w:color="000000"/>
              <w:start w:val="single" w:sz="8"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车辆使用管理</w:t>
            </w:r>
          </w:p>
        </w:tc>
        <w:tc>
          <w:tcPr>
            <w:tcW w:w="1240"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车辆运行管理</w:t>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出车及时性</w:t>
            </w:r>
          </w:p>
        </w:tc>
        <w:tc>
          <w:tcPr>
            <w:tcW w:w="382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投诉一次不及时扣</w:t>
            </w:r>
            <w:r>
              <w:rPr>
                <w:rFonts w:cs="宋体" w:ascii="宋体" w:hAnsi="宋体"/>
                <w:color w:val="000000"/>
                <w:kern w:val="0"/>
                <w:sz w:val="22"/>
                <w:szCs w:val="22"/>
              </w:rPr>
              <w:t>2</w:t>
            </w:r>
            <w:r>
              <w:rPr>
                <w:rFonts w:ascii="宋体" w:hAnsi="宋体" w:cs="宋体"/>
                <w:color w:val="000000"/>
                <w:kern w:val="0"/>
                <w:sz w:val="22"/>
                <w:szCs w:val="22"/>
              </w:rPr>
              <w:t>分，最多扣</w:t>
            </w:r>
            <w:r>
              <w:rPr>
                <w:rFonts w:cs="宋体" w:ascii="宋体" w:hAnsi="宋体"/>
                <w:color w:val="000000"/>
                <w:kern w:val="0"/>
                <w:sz w:val="22"/>
                <w:szCs w:val="22"/>
              </w:rPr>
              <w:t>10</w:t>
            </w:r>
            <w:r>
              <w:rPr>
                <w:rFonts w:ascii="宋体" w:hAnsi="宋体" w:cs="宋体"/>
                <w:color w:val="000000"/>
                <w:kern w:val="0"/>
                <w:sz w:val="22"/>
                <w:szCs w:val="22"/>
              </w:rPr>
              <w:t>分</w:t>
            </w:r>
          </w:p>
        </w:tc>
        <w:tc>
          <w:tcPr>
            <w:tcW w:w="297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总务科长、司机</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30"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油耗控制率</w:t>
            </w:r>
          </w:p>
        </w:tc>
        <w:tc>
          <w:tcPr>
            <w:tcW w:w="382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油耗控制率</w:t>
            </w:r>
            <w:r>
              <w:rPr>
                <w:rFonts w:cs="宋体" w:ascii="宋体" w:hAnsi="宋体"/>
                <w:color w:val="000000"/>
                <w:kern w:val="0"/>
                <w:sz w:val="22"/>
                <w:szCs w:val="22"/>
              </w:rPr>
              <w:t>=</w:t>
            </w:r>
            <w:r>
              <w:rPr>
                <w:rFonts w:ascii="宋体" w:hAnsi="宋体" w:cs="宋体"/>
                <w:color w:val="000000"/>
                <w:kern w:val="0"/>
                <w:sz w:val="22"/>
                <w:szCs w:val="22"/>
              </w:rPr>
              <w:t>单次实际油耗</w:t>
            </w:r>
            <w:r>
              <w:rPr>
                <w:rFonts w:cs="宋体" w:ascii="宋体" w:hAnsi="宋体"/>
                <w:color w:val="000000"/>
                <w:kern w:val="0"/>
                <w:sz w:val="22"/>
                <w:szCs w:val="22"/>
              </w:rPr>
              <w:t>÷</w:t>
            </w:r>
            <w:r>
              <w:rPr>
                <w:rFonts w:ascii="宋体" w:hAnsi="宋体" w:cs="宋体"/>
                <w:color w:val="000000"/>
                <w:kern w:val="0"/>
                <w:sz w:val="22"/>
                <w:szCs w:val="22"/>
              </w:rPr>
              <w:t>单次油耗标准</w:t>
            </w:r>
            <w:r>
              <w:rPr>
                <w:rFonts w:cs="宋体" w:ascii="宋体" w:hAnsi="宋体"/>
                <w:color w:val="000000"/>
                <w:kern w:val="0"/>
                <w:sz w:val="22"/>
                <w:szCs w:val="22"/>
              </w:rPr>
              <w:t>×100</w:t>
            </w:r>
            <w:r>
              <w:rPr>
                <w:rFonts w:ascii="宋体" w:hAnsi="宋体" w:cs="宋体"/>
                <w:color w:val="000000"/>
                <w:kern w:val="0"/>
                <w:sz w:val="22"/>
                <w:szCs w:val="22"/>
              </w:rPr>
              <w:t>％（单次油耗标准</w:t>
            </w:r>
            <w:r>
              <w:rPr>
                <w:rFonts w:cs="宋体" w:ascii="宋体" w:hAnsi="宋体"/>
                <w:color w:val="000000"/>
                <w:kern w:val="0"/>
                <w:sz w:val="22"/>
                <w:szCs w:val="22"/>
              </w:rPr>
              <w:t>=</w:t>
            </w:r>
            <w:r>
              <w:rPr>
                <w:rFonts w:ascii="宋体" w:hAnsi="宋体" w:cs="宋体"/>
                <w:color w:val="000000"/>
                <w:kern w:val="0"/>
                <w:sz w:val="22"/>
                <w:szCs w:val="22"/>
              </w:rPr>
              <w:t>每公里油耗标准</w:t>
            </w:r>
            <w:r>
              <w:rPr>
                <w:rFonts w:cs="宋体" w:ascii="宋体" w:hAnsi="宋体"/>
                <w:color w:val="000000"/>
                <w:kern w:val="0"/>
                <w:sz w:val="22"/>
                <w:szCs w:val="22"/>
              </w:rPr>
              <w:t>×</w:t>
            </w:r>
            <w:r>
              <w:rPr>
                <w:rFonts w:ascii="宋体" w:hAnsi="宋体" w:cs="宋体"/>
                <w:color w:val="000000"/>
                <w:kern w:val="0"/>
                <w:sz w:val="22"/>
                <w:szCs w:val="22"/>
              </w:rPr>
              <w:t>该次里程）</w:t>
            </w:r>
          </w:p>
        </w:tc>
        <w:tc>
          <w:tcPr>
            <w:tcW w:w="297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总务科长、司机</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20"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车辆使用超时率</w:t>
            </w:r>
          </w:p>
        </w:tc>
        <w:tc>
          <w:tcPr>
            <w:tcW w:w="382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车辆使用超时率</w:t>
            </w:r>
            <w:r>
              <w:rPr>
                <w:rFonts w:cs="宋体" w:ascii="宋体" w:hAnsi="宋体"/>
                <w:color w:val="000000"/>
                <w:kern w:val="0"/>
                <w:sz w:val="22"/>
                <w:szCs w:val="22"/>
              </w:rPr>
              <w:t>=</w:t>
            </w:r>
            <w:r>
              <w:rPr>
                <w:rFonts w:ascii="宋体" w:hAnsi="宋体" w:cs="宋体"/>
                <w:color w:val="000000"/>
                <w:kern w:val="0"/>
                <w:sz w:val="22"/>
                <w:szCs w:val="22"/>
              </w:rPr>
              <w:t>超时次数</w:t>
            </w:r>
            <w:r>
              <w:rPr>
                <w:rFonts w:cs="宋体" w:ascii="宋体" w:hAnsi="宋体"/>
                <w:color w:val="000000"/>
                <w:kern w:val="0"/>
                <w:sz w:val="22"/>
                <w:szCs w:val="22"/>
              </w:rPr>
              <w:t>÷</w:t>
            </w:r>
            <w:r>
              <w:rPr>
                <w:rFonts w:ascii="宋体" w:hAnsi="宋体" w:cs="宋体"/>
                <w:color w:val="000000"/>
                <w:kern w:val="0"/>
                <w:sz w:val="22"/>
                <w:szCs w:val="22"/>
              </w:rPr>
              <w:t>出车总次数</w:t>
            </w:r>
            <w:r>
              <w:rPr>
                <w:rFonts w:cs="宋体" w:ascii="宋体" w:hAnsi="宋体"/>
                <w:color w:val="000000"/>
                <w:kern w:val="0"/>
                <w:sz w:val="22"/>
                <w:szCs w:val="22"/>
              </w:rPr>
              <w:t>×100</w:t>
            </w:r>
            <w:r>
              <w:rPr>
                <w:rFonts w:ascii="宋体" w:hAnsi="宋体" w:cs="宋体"/>
                <w:color w:val="000000"/>
                <w:kern w:val="0"/>
                <w:sz w:val="22"/>
                <w:szCs w:val="22"/>
              </w:rPr>
              <w:t>％</w:t>
            </w:r>
          </w:p>
        </w:tc>
        <w:tc>
          <w:tcPr>
            <w:tcW w:w="297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总务科长、司机</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50"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车辆保养</w:t>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车辆保养</w:t>
            </w:r>
          </w:p>
        </w:tc>
        <w:tc>
          <w:tcPr>
            <w:tcW w:w="382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发现一次异常扣</w:t>
            </w:r>
            <w:r>
              <w:rPr>
                <w:rFonts w:cs="宋体" w:ascii="宋体" w:hAnsi="宋体"/>
                <w:color w:val="000000"/>
                <w:kern w:val="0"/>
                <w:sz w:val="22"/>
                <w:szCs w:val="22"/>
              </w:rPr>
              <w:t>2</w:t>
            </w:r>
            <w:r>
              <w:rPr>
                <w:rFonts w:ascii="宋体" w:hAnsi="宋体" w:cs="宋体"/>
                <w:color w:val="000000"/>
                <w:kern w:val="0"/>
                <w:sz w:val="22"/>
                <w:szCs w:val="22"/>
              </w:rPr>
              <w:t>分，最多扣</w:t>
            </w:r>
            <w:r>
              <w:rPr>
                <w:rFonts w:cs="宋体" w:ascii="宋体" w:hAnsi="宋体"/>
                <w:color w:val="000000"/>
                <w:kern w:val="0"/>
                <w:sz w:val="22"/>
                <w:szCs w:val="22"/>
              </w:rPr>
              <w:t>10</w:t>
            </w:r>
            <w:r>
              <w:rPr>
                <w:rFonts w:ascii="宋体" w:hAnsi="宋体" w:cs="宋体"/>
                <w:color w:val="000000"/>
                <w:kern w:val="0"/>
                <w:sz w:val="22"/>
                <w:szCs w:val="22"/>
              </w:rPr>
              <w:t>分。要求按照《车辆保养规定》保养</w:t>
            </w:r>
          </w:p>
        </w:tc>
        <w:tc>
          <w:tcPr>
            <w:tcW w:w="297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总务科长、司机</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500"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车辆管理资料及信息管理</w:t>
            </w:r>
          </w:p>
        </w:tc>
        <w:tc>
          <w:tcPr>
            <w:tcW w:w="382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建立车辆档案，记录并保存车辆初始状况、运行现状、维修记录、保养记录、运输作业报表、</w:t>
            </w:r>
            <w:r>
              <w:rPr>
                <w:rFonts w:cs="宋体" w:ascii="宋体" w:hAnsi="宋体"/>
                <w:color w:val="000000"/>
                <w:kern w:val="0"/>
                <w:sz w:val="22"/>
                <w:szCs w:val="22"/>
              </w:rPr>
              <w:t>6S</w:t>
            </w:r>
            <w:r>
              <w:rPr>
                <w:rFonts w:ascii="宋体" w:hAnsi="宋体" w:cs="宋体"/>
                <w:color w:val="000000"/>
                <w:kern w:val="0"/>
                <w:sz w:val="22"/>
                <w:szCs w:val="22"/>
              </w:rPr>
              <w:t>检查表，等等。做到资料完整、信息全面、及时更新、记录准确无误，并及时向上级领导或者相关部门反馈相关数据与信息。</w:t>
            </w:r>
          </w:p>
        </w:tc>
        <w:tc>
          <w:tcPr>
            <w:tcW w:w="297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总务科长、司机</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570"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车辆故障率</w:t>
            </w:r>
          </w:p>
        </w:tc>
        <w:tc>
          <w:tcPr>
            <w:tcW w:w="382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故障率应该控制在</w:t>
            </w:r>
            <w:r>
              <w:rPr>
                <w:rFonts w:cs="宋体" w:ascii="宋体" w:hAnsi="宋体"/>
                <w:color w:val="000000"/>
                <w:kern w:val="0"/>
                <w:sz w:val="22"/>
                <w:szCs w:val="22"/>
              </w:rPr>
              <w:t>5%</w:t>
            </w:r>
            <w:r>
              <w:rPr>
                <w:rFonts w:ascii="宋体" w:hAnsi="宋体" w:cs="宋体"/>
                <w:color w:val="000000"/>
                <w:kern w:val="0"/>
                <w:sz w:val="22"/>
                <w:szCs w:val="22"/>
              </w:rPr>
              <w:t>范围内。（故障率</w:t>
            </w:r>
            <w:r>
              <w:rPr>
                <w:rFonts w:cs="宋体" w:ascii="宋体" w:hAnsi="宋体"/>
                <w:color w:val="000000"/>
                <w:kern w:val="0"/>
                <w:sz w:val="22"/>
                <w:szCs w:val="22"/>
              </w:rPr>
              <w:t>=</w:t>
            </w:r>
            <w:r>
              <w:rPr>
                <w:rFonts w:ascii="宋体" w:hAnsi="宋体" w:cs="宋体"/>
                <w:color w:val="000000"/>
                <w:kern w:val="0"/>
                <w:sz w:val="22"/>
                <w:szCs w:val="22"/>
              </w:rPr>
              <w:t>故障车辆数量</w:t>
            </w:r>
            <w:r>
              <w:rPr>
                <w:rFonts w:cs="宋体" w:ascii="宋体" w:hAnsi="宋体"/>
                <w:color w:val="000000"/>
                <w:kern w:val="0"/>
                <w:sz w:val="22"/>
                <w:szCs w:val="22"/>
              </w:rPr>
              <w:t>÷</w:t>
            </w:r>
            <w:r>
              <w:rPr>
                <w:rFonts w:ascii="宋体" w:hAnsi="宋体" w:cs="宋体"/>
                <w:color w:val="000000"/>
                <w:kern w:val="0"/>
                <w:sz w:val="22"/>
                <w:szCs w:val="22"/>
              </w:rPr>
              <w:t>车辆总数</w:t>
            </w:r>
            <w:r>
              <w:rPr>
                <w:rFonts w:cs="宋体" w:ascii="宋体" w:hAnsi="宋体"/>
                <w:color w:val="000000"/>
                <w:kern w:val="0"/>
                <w:sz w:val="22"/>
                <w:szCs w:val="22"/>
              </w:rPr>
              <w:t>×100%</w:t>
            </w:r>
            <w:r>
              <w:rPr>
                <w:rFonts w:ascii="宋体" w:hAnsi="宋体" w:cs="宋体"/>
                <w:color w:val="000000"/>
                <w:kern w:val="0"/>
                <w:sz w:val="22"/>
                <w:szCs w:val="22"/>
              </w:rPr>
              <w:t>）</w:t>
            </w:r>
          </w:p>
        </w:tc>
        <w:tc>
          <w:tcPr>
            <w:tcW w:w="297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总务科长、司机</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25"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车辆故障问题处理的及时性及准确性</w:t>
            </w:r>
          </w:p>
        </w:tc>
        <w:tc>
          <w:tcPr>
            <w:tcW w:w="382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发现一次不及时，扣</w:t>
            </w:r>
            <w:r>
              <w:rPr>
                <w:rFonts w:cs="宋体" w:ascii="宋体" w:hAnsi="宋体"/>
                <w:color w:val="000000"/>
                <w:kern w:val="0"/>
                <w:sz w:val="22"/>
                <w:szCs w:val="22"/>
              </w:rPr>
              <w:t>2</w:t>
            </w:r>
            <w:r>
              <w:rPr>
                <w:rFonts w:ascii="宋体" w:hAnsi="宋体" w:cs="宋体"/>
                <w:color w:val="000000"/>
                <w:kern w:val="0"/>
                <w:sz w:val="22"/>
                <w:szCs w:val="22"/>
              </w:rPr>
              <w:t>分，最多扣</w:t>
            </w:r>
            <w:r>
              <w:rPr>
                <w:rFonts w:cs="宋体" w:ascii="宋体" w:hAnsi="宋体"/>
                <w:color w:val="000000"/>
                <w:kern w:val="0"/>
                <w:sz w:val="22"/>
                <w:szCs w:val="22"/>
              </w:rPr>
              <w:t>10</w:t>
            </w:r>
            <w:r>
              <w:rPr>
                <w:rFonts w:ascii="宋体" w:hAnsi="宋体" w:cs="宋体"/>
                <w:color w:val="000000"/>
                <w:kern w:val="0"/>
                <w:sz w:val="22"/>
                <w:szCs w:val="22"/>
              </w:rPr>
              <w:t>分；发现一次处理不恰当，扣</w:t>
            </w:r>
            <w:r>
              <w:rPr>
                <w:rFonts w:cs="宋体" w:ascii="宋体" w:hAnsi="宋体"/>
                <w:color w:val="000000"/>
                <w:kern w:val="0"/>
                <w:sz w:val="22"/>
                <w:szCs w:val="22"/>
              </w:rPr>
              <w:t>5</w:t>
            </w:r>
            <w:r>
              <w:rPr>
                <w:rFonts w:ascii="宋体" w:hAnsi="宋体" w:cs="宋体"/>
                <w:color w:val="000000"/>
                <w:kern w:val="0"/>
                <w:sz w:val="22"/>
                <w:szCs w:val="22"/>
              </w:rPr>
              <w:t>分，最多扣</w:t>
            </w:r>
            <w:r>
              <w:rPr>
                <w:rFonts w:cs="宋体" w:ascii="宋体" w:hAnsi="宋体"/>
                <w:color w:val="000000"/>
                <w:kern w:val="0"/>
                <w:sz w:val="22"/>
                <w:szCs w:val="22"/>
              </w:rPr>
              <w:t>20</w:t>
            </w:r>
            <w:r>
              <w:rPr>
                <w:rFonts w:ascii="宋体" w:hAnsi="宋体" w:cs="宋体"/>
                <w:color w:val="000000"/>
                <w:kern w:val="0"/>
                <w:sz w:val="22"/>
                <w:szCs w:val="22"/>
              </w:rPr>
              <w:t>分。</w:t>
            </w:r>
          </w:p>
        </w:tc>
        <w:tc>
          <w:tcPr>
            <w:tcW w:w="297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总务科长、司机</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10" w:hRule="atLeast"/>
        </w:trPr>
        <w:tc>
          <w:tcPr>
            <w:tcW w:w="1300" w:type="dxa"/>
            <w:vMerge w:val="restart"/>
            <w:tcBorders>
              <w:start w:val="single" w:sz="8"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后勤保障</w:t>
            </w:r>
          </w:p>
        </w:tc>
        <w:tc>
          <w:tcPr>
            <w:tcW w:w="1240" w:type="dxa"/>
            <w:tcBorders>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办公物品供给</w:t>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办公用品及设备提供到位</w:t>
            </w:r>
          </w:p>
        </w:tc>
        <w:tc>
          <w:tcPr>
            <w:tcW w:w="382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因办公用品或者设备提供不到位，出现员工投诉一次，扣</w:t>
            </w:r>
            <w:r>
              <w:rPr>
                <w:rFonts w:cs="宋体" w:ascii="宋体" w:hAnsi="宋体"/>
                <w:color w:val="000000"/>
                <w:kern w:val="0"/>
                <w:sz w:val="22"/>
                <w:szCs w:val="22"/>
              </w:rPr>
              <w:t>2</w:t>
            </w:r>
            <w:r>
              <w:rPr>
                <w:rFonts w:ascii="宋体" w:hAnsi="宋体" w:cs="宋体"/>
                <w:color w:val="000000"/>
                <w:kern w:val="0"/>
                <w:sz w:val="22"/>
                <w:szCs w:val="22"/>
              </w:rPr>
              <w:t>分，最多扣</w:t>
            </w:r>
            <w:r>
              <w:rPr>
                <w:rFonts w:cs="宋体" w:ascii="宋体" w:hAnsi="宋体"/>
                <w:color w:val="000000"/>
                <w:kern w:val="0"/>
                <w:sz w:val="22"/>
                <w:szCs w:val="22"/>
              </w:rPr>
              <w:t>10</w:t>
            </w:r>
            <w:r>
              <w:rPr>
                <w:rFonts w:ascii="宋体" w:hAnsi="宋体" w:cs="宋体"/>
                <w:color w:val="000000"/>
                <w:kern w:val="0"/>
                <w:sz w:val="22"/>
                <w:szCs w:val="22"/>
              </w:rPr>
              <w:t>分。</w:t>
            </w:r>
          </w:p>
        </w:tc>
        <w:tc>
          <w:tcPr>
            <w:tcW w:w="297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总务科长、行政秘书、行政主管以上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1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设备及工程维护</w:t>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办公设备及工程维护、维修的及时率</w:t>
            </w:r>
          </w:p>
        </w:tc>
        <w:tc>
          <w:tcPr>
            <w:tcW w:w="382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维修的及时率</w:t>
            </w:r>
            <w:r>
              <w:rPr>
                <w:rFonts w:cs="宋体" w:ascii="宋体" w:hAnsi="宋体"/>
                <w:color w:val="000000"/>
                <w:kern w:val="0"/>
                <w:sz w:val="22"/>
                <w:szCs w:val="22"/>
              </w:rPr>
              <w:t>=</w:t>
            </w:r>
            <w:r>
              <w:rPr>
                <w:rFonts w:ascii="宋体" w:hAnsi="宋体" w:cs="宋体"/>
                <w:color w:val="000000"/>
                <w:kern w:val="0"/>
                <w:sz w:val="22"/>
                <w:szCs w:val="22"/>
              </w:rPr>
              <w:t>实际及时维修次数</w:t>
            </w:r>
            <w:r>
              <w:rPr>
                <w:rFonts w:cs="宋体" w:ascii="宋体" w:hAnsi="宋体"/>
                <w:color w:val="000000"/>
                <w:kern w:val="0"/>
                <w:sz w:val="22"/>
                <w:szCs w:val="22"/>
              </w:rPr>
              <w:t>÷</w:t>
            </w:r>
            <w:r>
              <w:rPr>
                <w:rFonts w:ascii="宋体" w:hAnsi="宋体" w:cs="宋体"/>
                <w:color w:val="000000"/>
                <w:kern w:val="0"/>
                <w:sz w:val="22"/>
                <w:szCs w:val="22"/>
              </w:rPr>
              <w:t>报修总次数</w:t>
            </w:r>
            <w:r>
              <w:rPr>
                <w:rFonts w:cs="宋体" w:ascii="宋体" w:hAnsi="宋体"/>
                <w:color w:val="000000"/>
                <w:kern w:val="0"/>
                <w:sz w:val="22"/>
                <w:szCs w:val="22"/>
              </w:rPr>
              <w:t>×100</w:t>
            </w:r>
            <w:r>
              <w:rPr>
                <w:rFonts w:ascii="宋体" w:hAnsi="宋体" w:cs="宋体"/>
                <w:color w:val="000000"/>
                <w:kern w:val="0"/>
                <w:sz w:val="22"/>
                <w:szCs w:val="22"/>
              </w:rPr>
              <w:t>％</w:t>
            </w:r>
          </w:p>
        </w:tc>
        <w:tc>
          <w:tcPr>
            <w:tcW w:w="297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总务科长、行政主管以上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7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办公设备及工程维护、维修的合格率</w:t>
            </w:r>
          </w:p>
        </w:tc>
        <w:tc>
          <w:tcPr>
            <w:tcW w:w="382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维修的合格率</w:t>
            </w:r>
            <w:r>
              <w:rPr>
                <w:rFonts w:cs="宋体" w:ascii="宋体" w:hAnsi="宋体"/>
                <w:color w:val="000000"/>
                <w:kern w:val="0"/>
                <w:sz w:val="22"/>
                <w:szCs w:val="22"/>
              </w:rPr>
              <w:t>=</w:t>
            </w:r>
            <w:r>
              <w:rPr>
                <w:rFonts w:ascii="宋体" w:hAnsi="宋体" w:cs="宋体"/>
                <w:color w:val="000000"/>
                <w:kern w:val="0"/>
                <w:sz w:val="22"/>
                <w:szCs w:val="22"/>
              </w:rPr>
              <w:t>实际维修合格次数</w:t>
            </w:r>
            <w:r>
              <w:rPr>
                <w:rFonts w:cs="宋体" w:ascii="宋体" w:hAnsi="宋体"/>
                <w:color w:val="000000"/>
                <w:kern w:val="0"/>
                <w:sz w:val="22"/>
                <w:szCs w:val="22"/>
              </w:rPr>
              <w:t>÷</w:t>
            </w:r>
            <w:r>
              <w:rPr>
                <w:rFonts w:ascii="宋体" w:hAnsi="宋体" w:cs="宋体"/>
                <w:color w:val="000000"/>
                <w:kern w:val="0"/>
                <w:sz w:val="22"/>
                <w:szCs w:val="22"/>
              </w:rPr>
              <w:t>维修总次数</w:t>
            </w:r>
            <w:r>
              <w:rPr>
                <w:rFonts w:cs="宋体" w:ascii="宋体" w:hAnsi="宋体"/>
                <w:color w:val="000000"/>
                <w:kern w:val="0"/>
                <w:sz w:val="22"/>
                <w:szCs w:val="22"/>
              </w:rPr>
              <w:t>×100</w:t>
            </w:r>
            <w:r>
              <w:rPr>
                <w:rFonts w:ascii="宋体" w:hAnsi="宋体" w:cs="宋体"/>
                <w:color w:val="000000"/>
                <w:kern w:val="0"/>
                <w:sz w:val="22"/>
                <w:szCs w:val="22"/>
              </w:rPr>
              <w:t>％</w:t>
            </w:r>
          </w:p>
        </w:tc>
        <w:tc>
          <w:tcPr>
            <w:tcW w:w="297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总务科长、行政主管以上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9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tcBorders>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后勤服务态度</w:t>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后勤保障服务态度</w:t>
            </w:r>
          </w:p>
        </w:tc>
        <w:tc>
          <w:tcPr>
            <w:tcW w:w="382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后勤保障服务遭内部员工投诉，一次扣</w:t>
            </w:r>
            <w:r>
              <w:rPr>
                <w:rFonts w:cs="宋体" w:ascii="宋体" w:hAnsi="宋体"/>
                <w:color w:val="000000"/>
                <w:kern w:val="0"/>
                <w:sz w:val="22"/>
                <w:szCs w:val="22"/>
              </w:rPr>
              <w:t>1</w:t>
            </w:r>
            <w:r>
              <w:rPr>
                <w:rFonts w:ascii="宋体" w:hAnsi="宋体" w:cs="宋体"/>
                <w:color w:val="000000"/>
                <w:kern w:val="0"/>
                <w:sz w:val="22"/>
                <w:szCs w:val="22"/>
              </w:rPr>
              <w:t>分，最多扣</w:t>
            </w:r>
            <w:r>
              <w:rPr>
                <w:rFonts w:cs="宋体" w:ascii="宋体" w:hAnsi="宋体"/>
                <w:color w:val="000000"/>
                <w:kern w:val="0"/>
                <w:sz w:val="22"/>
                <w:szCs w:val="22"/>
              </w:rPr>
              <w:t>5</w:t>
            </w:r>
            <w:r>
              <w:rPr>
                <w:rFonts w:ascii="宋体" w:hAnsi="宋体" w:cs="宋体"/>
                <w:color w:val="000000"/>
                <w:kern w:val="0"/>
                <w:sz w:val="22"/>
                <w:szCs w:val="22"/>
              </w:rPr>
              <w:t>分。</w:t>
            </w:r>
          </w:p>
        </w:tc>
        <w:tc>
          <w:tcPr>
            <w:tcW w:w="297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总务科长、行政主管以上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215" w:hRule="atLeast"/>
        </w:trPr>
        <w:tc>
          <w:tcPr>
            <w:tcW w:w="1300" w:type="dxa"/>
            <w:vMerge w:val="restart"/>
            <w:tcBorders>
              <w:start w:val="single" w:sz="8"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安全管理</w:t>
            </w:r>
          </w:p>
        </w:tc>
        <w:tc>
          <w:tcPr>
            <w:tcW w:w="1240"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安全管理的规范性及成效性</w:t>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安全管理的规范性</w:t>
            </w:r>
          </w:p>
        </w:tc>
        <w:tc>
          <w:tcPr>
            <w:tcW w:w="382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出现一次不规范，扣</w:t>
            </w:r>
            <w:r>
              <w:rPr>
                <w:rFonts w:cs="宋体" w:ascii="宋体" w:hAnsi="宋体"/>
                <w:color w:val="000000"/>
                <w:kern w:val="0"/>
                <w:sz w:val="22"/>
                <w:szCs w:val="22"/>
              </w:rPr>
              <w:t>2</w:t>
            </w:r>
            <w:r>
              <w:rPr>
                <w:rFonts w:ascii="宋体" w:hAnsi="宋体" w:cs="宋体"/>
                <w:color w:val="000000"/>
                <w:kern w:val="0"/>
                <w:sz w:val="22"/>
                <w:szCs w:val="22"/>
              </w:rPr>
              <w:t>分。（规范性，是指严格按照公司相关安全管理规定执行相应的安全管理工作，包括安全管理措施、安全设备设施配备、安全培训、安全人员管理等等）</w:t>
            </w:r>
          </w:p>
        </w:tc>
        <w:tc>
          <w:tcPr>
            <w:tcW w:w="297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总务科长</w:t>
            </w:r>
            <w:r>
              <w:rPr>
                <w:rFonts w:cs="宋体" w:ascii="宋体" w:hAnsi="宋体"/>
                <w:color w:val="000000"/>
                <w:kern w:val="0"/>
                <w:sz w:val="20"/>
                <w:szCs w:val="20"/>
              </w:rPr>
              <w:t>/</w:t>
            </w:r>
            <w:r>
              <w:rPr>
                <w:rFonts w:ascii="宋体" w:hAnsi="宋体" w:cs="宋体"/>
                <w:color w:val="000000"/>
                <w:kern w:val="0"/>
                <w:sz w:val="20"/>
                <w:szCs w:val="20"/>
              </w:rPr>
              <w:t>行政主管以上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0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安全管理成效</w:t>
            </w:r>
          </w:p>
        </w:tc>
        <w:tc>
          <w:tcPr>
            <w:tcW w:w="382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安全事故发生一次扣</w:t>
            </w:r>
            <w:r>
              <w:rPr>
                <w:rFonts w:cs="宋体" w:ascii="宋体" w:hAnsi="宋体"/>
                <w:color w:val="000000"/>
                <w:kern w:val="0"/>
                <w:sz w:val="22"/>
                <w:szCs w:val="22"/>
              </w:rPr>
              <w:t>5</w:t>
            </w:r>
            <w:r>
              <w:rPr>
                <w:rFonts w:ascii="宋体" w:hAnsi="宋体" w:cs="宋体"/>
                <w:color w:val="000000"/>
                <w:kern w:val="0"/>
                <w:sz w:val="22"/>
                <w:szCs w:val="22"/>
              </w:rPr>
              <w:t>分，最多扣</w:t>
            </w:r>
            <w:r>
              <w:rPr>
                <w:rFonts w:cs="宋体" w:ascii="宋体" w:hAnsi="宋体"/>
                <w:color w:val="000000"/>
                <w:kern w:val="0"/>
                <w:sz w:val="22"/>
                <w:szCs w:val="22"/>
              </w:rPr>
              <w:t>20</w:t>
            </w:r>
            <w:r>
              <w:rPr>
                <w:rFonts w:ascii="宋体" w:hAnsi="宋体" w:cs="宋体"/>
                <w:color w:val="000000"/>
                <w:kern w:val="0"/>
                <w:sz w:val="22"/>
                <w:szCs w:val="22"/>
              </w:rPr>
              <w:t>分。（造成经济损失的，依据损失金额进行进一步的惩罚。）</w:t>
            </w:r>
          </w:p>
        </w:tc>
        <w:tc>
          <w:tcPr>
            <w:tcW w:w="297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总务科长</w:t>
            </w:r>
            <w:r>
              <w:rPr>
                <w:rFonts w:cs="宋体" w:ascii="宋体" w:hAnsi="宋体"/>
                <w:color w:val="000000"/>
                <w:kern w:val="0"/>
                <w:sz w:val="20"/>
                <w:szCs w:val="20"/>
              </w:rPr>
              <w:t>/</w:t>
            </w:r>
            <w:r>
              <w:rPr>
                <w:rFonts w:ascii="宋体" w:hAnsi="宋体" w:cs="宋体"/>
                <w:color w:val="000000"/>
                <w:kern w:val="0"/>
                <w:sz w:val="20"/>
                <w:szCs w:val="20"/>
              </w:rPr>
              <w:t>行政主管以上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00" w:hRule="atLeast"/>
        </w:trPr>
        <w:tc>
          <w:tcPr>
            <w:tcW w:w="1300" w:type="dxa"/>
            <w:tcBorders>
              <w:start w:val="single" w:sz="8"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环境卫生管理</w:t>
            </w:r>
          </w:p>
        </w:tc>
        <w:tc>
          <w:tcPr>
            <w:tcW w:w="1240"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t>5S</w:t>
            </w:r>
            <w:r>
              <w:rPr>
                <w:rFonts w:ascii="宋体" w:hAnsi="宋体" w:cs="宋体"/>
                <w:color w:val="000000"/>
                <w:kern w:val="0"/>
                <w:sz w:val="22"/>
                <w:szCs w:val="22"/>
              </w:rPr>
              <w:t>管理</w:t>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cs="宋体" w:ascii="宋体" w:hAnsi="宋体"/>
                <w:color w:val="000000"/>
                <w:kern w:val="0"/>
                <w:sz w:val="22"/>
                <w:szCs w:val="22"/>
              </w:rPr>
              <w:t>5S</w:t>
            </w:r>
            <w:r>
              <w:rPr>
                <w:rFonts w:ascii="宋体" w:hAnsi="宋体" w:cs="宋体"/>
                <w:color w:val="000000"/>
                <w:kern w:val="0"/>
                <w:sz w:val="22"/>
                <w:szCs w:val="22"/>
              </w:rPr>
              <w:t>管理实施与成效</w:t>
            </w:r>
          </w:p>
        </w:tc>
        <w:tc>
          <w:tcPr>
            <w:tcW w:w="382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不达标，一次扣</w:t>
            </w:r>
            <w:r>
              <w:rPr>
                <w:rFonts w:cs="宋体" w:ascii="宋体" w:hAnsi="宋体"/>
                <w:color w:val="000000"/>
                <w:kern w:val="0"/>
                <w:sz w:val="22"/>
                <w:szCs w:val="22"/>
              </w:rPr>
              <w:t>5</w:t>
            </w:r>
            <w:r>
              <w:rPr>
                <w:rFonts w:ascii="宋体" w:hAnsi="宋体" w:cs="宋体"/>
                <w:color w:val="000000"/>
                <w:kern w:val="0"/>
                <w:sz w:val="22"/>
                <w:szCs w:val="22"/>
              </w:rPr>
              <w:t>分，最多扣</w:t>
            </w:r>
            <w:r>
              <w:rPr>
                <w:rFonts w:cs="宋体" w:ascii="宋体" w:hAnsi="宋体"/>
                <w:color w:val="000000"/>
                <w:kern w:val="0"/>
                <w:sz w:val="22"/>
                <w:szCs w:val="22"/>
              </w:rPr>
              <w:t>20</w:t>
            </w:r>
            <w:r>
              <w:rPr>
                <w:rFonts w:ascii="宋体" w:hAnsi="宋体" w:cs="宋体"/>
                <w:color w:val="000000"/>
                <w:kern w:val="0"/>
                <w:sz w:val="22"/>
                <w:szCs w:val="22"/>
              </w:rPr>
              <w:t>分。（要求</w:t>
            </w:r>
            <w:r>
              <w:rPr>
                <w:rFonts w:cs="宋体" w:ascii="宋体" w:hAnsi="宋体"/>
                <w:color w:val="000000"/>
                <w:kern w:val="0"/>
                <w:sz w:val="22"/>
                <w:szCs w:val="22"/>
              </w:rPr>
              <w:t>5S</w:t>
            </w:r>
            <w:r>
              <w:rPr>
                <w:rFonts w:ascii="宋体" w:hAnsi="宋体" w:cs="宋体"/>
                <w:color w:val="000000"/>
                <w:kern w:val="0"/>
                <w:sz w:val="22"/>
                <w:szCs w:val="22"/>
              </w:rPr>
              <w:t>检查成绩达标或者评优成绩突出，具体工作包括日常环境卫生的保持、环境布置与建设）</w:t>
            </w:r>
          </w:p>
        </w:tc>
        <w:tc>
          <w:tcPr>
            <w:tcW w:w="297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总务科长</w:t>
            </w:r>
            <w:r>
              <w:rPr>
                <w:rFonts w:cs="宋体" w:ascii="宋体" w:hAnsi="宋体"/>
                <w:color w:val="000000"/>
                <w:kern w:val="0"/>
                <w:sz w:val="20"/>
                <w:szCs w:val="20"/>
              </w:rPr>
              <w:t>/</w:t>
            </w:r>
            <w:r>
              <w:rPr>
                <w:rFonts w:ascii="宋体" w:hAnsi="宋体" w:cs="宋体"/>
                <w:color w:val="000000"/>
                <w:kern w:val="0"/>
                <w:sz w:val="20"/>
                <w:szCs w:val="20"/>
              </w:rPr>
              <w:t>行政主管以上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215" w:hRule="atLeast"/>
        </w:trPr>
        <w:tc>
          <w:tcPr>
            <w:tcW w:w="1300" w:type="dxa"/>
            <w:vMerge w:val="restart"/>
            <w:tcBorders>
              <w:start w:val="single" w:sz="8"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法律事务管理</w:t>
            </w:r>
          </w:p>
        </w:tc>
        <w:tc>
          <w:tcPr>
            <w:tcW w:w="1240"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法律风险防范</w:t>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制度与文件法律风险防范</w:t>
            </w:r>
          </w:p>
        </w:tc>
        <w:tc>
          <w:tcPr>
            <w:tcW w:w="382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监督并确保公司各项规章制度、合同、法律文书等制度与文件的合法性。制度或者文件出现法律漏洞问题，一次扣</w:t>
            </w:r>
            <w:r>
              <w:rPr>
                <w:rFonts w:cs="宋体" w:ascii="宋体" w:hAnsi="宋体"/>
                <w:color w:val="000000"/>
                <w:kern w:val="0"/>
                <w:sz w:val="22"/>
                <w:szCs w:val="22"/>
              </w:rPr>
              <w:t>5</w:t>
            </w:r>
            <w:r>
              <w:rPr>
                <w:rFonts w:ascii="宋体" w:hAnsi="宋体" w:cs="宋体"/>
                <w:color w:val="000000"/>
                <w:kern w:val="0"/>
                <w:sz w:val="22"/>
                <w:szCs w:val="22"/>
              </w:rPr>
              <w:t>分，若因此引起法律纠纷，则此项配分全无；最多扣</w:t>
            </w:r>
            <w:r>
              <w:rPr>
                <w:rFonts w:cs="宋体" w:ascii="宋体" w:hAnsi="宋体"/>
                <w:color w:val="000000"/>
                <w:kern w:val="0"/>
                <w:sz w:val="22"/>
                <w:szCs w:val="22"/>
              </w:rPr>
              <w:t>30</w:t>
            </w:r>
            <w:r>
              <w:rPr>
                <w:rFonts w:ascii="宋体" w:hAnsi="宋体" w:cs="宋体"/>
                <w:color w:val="000000"/>
                <w:kern w:val="0"/>
                <w:sz w:val="22"/>
                <w:szCs w:val="22"/>
              </w:rPr>
              <w:t>分。</w:t>
            </w:r>
          </w:p>
        </w:tc>
        <w:tc>
          <w:tcPr>
            <w:tcW w:w="297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行政管理部／法律事务部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法律事务专员</w:t>
            </w:r>
            <w:r>
              <w:rPr>
                <w:rFonts w:cs="宋体" w:ascii="宋体" w:hAnsi="宋体"/>
                <w:color w:val="000000"/>
                <w:kern w:val="0"/>
                <w:sz w:val="20"/>
                <w:szCs w:val="20"/>
              </w:rPr>
              <w:t>/</w:t>
            </w:r>
            <w:r>
              <w:rPr>
                <w:rFonts w:ascii="宋体" w:hAnsi="宋体" w:cs="宋体"/>
                <w:color w:val="000000"/>
                <w:kern w:val="0"/>
                <w:sz w:val="20"/>
                <w:szCs w:val="20"/>
              </w:rPr>
              <w:t>行政经理</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0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经营活动法律风险防范</w:t>
            </w:r>
          </w:p>
        </w:tc>
        <w:tc>
          <w:tcPr>
            <w:tcW w:w="382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监督并确保公司各项经营活动与行为的合法性。经营行为出现法律漏洞问题，一次扣</w:t>
            </w:r>
            <w:r>
              <w:rPr>
                <w:rFonts w:cs="宋体" w:ascii="宋体" w:hAnsi="宋体"/>
                <w:color w:val="000000"/>
                <w:kern w:val="0"/>
                <w:sz w:val="22"/>
                <w:szCs w:val="22"/>
              </w:rPr>
              <w:t>5</w:t>
            </w:r>
            <w:r>
              <w:rPr>
                <w:rFonts w:ascii="宋体" w:hAnsi="宋体" w:cs="宋体"/>
                <w:color w:val="000000"/>
                <w:kern w:val="0"/>
                <w:sz w:val="22"/>
                <w:szCs w:val="22"/>
              </w:rPr>
              <w:t>分，若因此引起法律纠纷，则此项配分全无；最多扣</w:t>
            </w:r>
            <w:r>
              <w:rPr>
                <w:rFonts w:cs="宋体" w:ascii="宋体" w:hAnsi="宋体"/>
                <w:color w:val="000000"/>
                <w:kern w:val="0"/>
                <w:sz w:val="22"/>
                <w:szCs w:val="22"/>
              </w:rPr>
              <w:t>30</w:t>
            </w:r>
            <w:r>
              <w:rPr>
                <w:rFonts w:ascii="宋体" w:hAnsi="宋体" w:cs="宋体"/>
                <w:color w:val="000000"/>
                <w:kern w:val="0"/>
                <w:sz w:val="22"/>
                <w:szCs w:val="22"/>
              </w:rPr>
              <w:t>分。</w:t>
            </w:r>
          </w:p>
        </w:tc>
        <w:tc>
          <w:tcPr>
            <w:tcW w:w="297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行政管理部／法律事务部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法律事务专员</w:t>
            </w:r>
            <w:r>
              <w:rPr>
                <w:rFonts w:cs="宋体" w:ascii="宋体" w:hAnsi="宋体"/>
                <w:color w:val="000000"/>
                <w:kern w:val="0"/>
                <w:sz w:val="20"/>
                <w:szCs w:val="20"/>
              </w:rPr>
              <w:t>/</w:t>
            </w:r>
            <w:r>
              <w:rPr>
                <w:rFonts w:ascii="宋体" w:hAnsi="宋体" w:cs="宋体"/>
                <w:color w:val="000000"/>
                <w:kern w:val="0"/>
                <w:sz w:val="20"/>
                <w:szCs w:val="20"/>
              </w:rPr>
              <w:t>行政经理</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5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法律事务处理</w:t>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处理的及时性</w:t>
            </w:r>
          </w:p>
        </w:tc>
        <w:tc>
          <w:tcPr>
            <w:tcW w:w="382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及时有效处理各项法律事务。若未能及时有效的处理，一次扣</w:t>
            </w:r>
            <w:r>
              <w:rPr>
                <w:rFonts w:cs="宋体" w:ascii="宋体" w:hAnsi="宋体"/>
                <w:color w:val="000000"/>
                <w:kern w:val="0"/>
                <w:sz w:val="22"/>
                <w:szCs w:val="22"/>
              </w:rPr>
              <w:t>5</w:t>
            </w:r>
            <w:r>
              <w:rPr>
                <w:rFonts w:ascii="宋体" w:hAnsi="宋体" w:cs="宋体"/>
                <w:color w:val="000000"/>
                <w:kern w:val="0"/>
                <w:sz w:val="22"/>
                <w:szCs w:val="22"/>
              </w:rPr>
              <w:t>分，最多扣</w:t>
            </w:r>
            <w:r>
              <w:rPr>
                <w:rFonts w:cs="宋体" w:ascii="宋体" w:hAnsi="宋体"/>
                <w:color w:val="000000"/>
                <w:kern w:val="0"/>
                <w:sz w:val="22"/>
                <w:szCs w:val="22"/>
              </w:rPr>
              <w:t>20</w:t>
            </w:r>
            <w:r>
              <w:rPr>
                <w:rFonts w:ascii="宋体" w:hAnsi="宋体" w:cs="宋体"/>
                <w:color w:val="000000"/>
                <w:kern w:val="0"/>
                <w:sz w:val="22"/>
                <w:szCs w:val="22"/>
              </w:rPr>
              <w:t>分。</w:t>
            </w:r>
          </w:p>
        </w:tc>
        <w:tc>
          <w:tcPr>
            <w:tcW w:w="297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行政管理部／法律事务部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法律事务专员</w:t>
            </w:r>
            <w:r>
              <w:rPr>
                <w:rFonts w:cs="宋体" w:ascii="宋体" w:hAnsi="宋体"/>
                <w:color w:val="000000"/>
                <w:kern w:val="0"/>
                <w:sz w:val="20"/>
                <w:szCs w:val="20"/>
              </w:rPr>
              <w:t>/</w:t>
            </w:r>
            <w:r>
              <w:rPr>
                <w:rFonts w:ascii="宋体" w:hAnsi="宋体" w:cs="宋体"/>
                <w:color w:val="000000"/>
                <w:kern w:val="0"/>
                <w:sz w:val="20"/>
                <w:szCs w:val="20"/>
              </w:rPr>
              <w:t>行政经理</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20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处理的有效性</w:t>
            </w:r>
          </w:p>
        </w:tc>
        <w:tc>
          <w:tcPr>
            <w:tcW w:w="382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及时有效处理各项法律事务，并达到维护好公司权益的目的。若未能有效的处理，一次扣</w:t>
            </w:r>
            <w:r>
              <w:rPr>
                <w:rFonts w:cs="宋体" w:ascii="宋体" w:hAnsi="宋体"/>
                <w:color w:val="000000"/>
                <w:kern w:val="0"/>
                <w:sz w:val="22"/>
                <w:szCs w:val="22"/>
              </w:rPr>
              <w:t>5</w:t>
            </w:r>
            <w:r>
              <w:rPr>
                <w:rFonts w:ascii="宋体" w:hAnsi="宋体" w:cs="宋体"/>
                <w:color w:val="000000"/>
                <w:kern w:val="0"/>
                <w:sz w:val="22"/>
                <w:szCs w:val="22"/>
              </w:rPr>
              <w:t>分，最多扣</w:t>
            </w:r>
            <w:r>
              <w:rPr>
                <w:rFonts w:cs="宋体" w:ascii="宋体" w:hAnsi="宋体"/>
                <w:color w:val="000000"/>
                <w:kern w:val="0"/>
                <w:sz w:val="22"/>
                <w:szCs w:val="22"/>
              </w:rPr>
              <w:t>20</w:t>
            </w:r>
            <w:r>
              <w:rPr>
                <w:rFonts w:ascii="宋体" w:hAnsi="宋体" w:cs="宋体"/>
                <w:color w:val="000000"/>
                <w:kern w:val="0"/>
                <w:sz w:val="22"/>
                <w:szCs w:val="22"/>
              </w:rPr>
              <w:t>分。（具体的有效性，由主管领导或者公司领导判定）</w:t>
            </w:r>
          </w:p>
        </w:tc>
        <w:tc>
          <w:tcPr>
            <w:tcW w:w="297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行政管理部／法律事务部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法律事务专员</w:t>
            </w:r>
            <w:r>
              <w:rPr>
                <w:rFonts w:cs="宋体" w:ascii="宋体" w:hAnsi="宋体"/>
                <w:color w:val="000000"/>
                <w:kern w:val="0"/>
                <w:sz w:val="20"/>
                <w:szCs w:val="20"/>
              </w:rPr>
              <w:t>/</w:t>
            </w:r>
            <w:r>
              <w:rPr>
                <w:rFonts w:ascii="宋体" w:hAnsi="宋体" w:cs="宋体"/>
                <w:color w:val="000000"/>
                <w:kern w:val="0"/>
                <w:sz w:val="20"/>
                <w:szCs w:val="20"/>
              </w:rPr>
              <w:t>行政经理</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9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法律宣传与培训</w:t>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培训宣传工作执行的及时性及完成量</w:t>
            </w:r>
          </w:p>
        </w:tc>
        <w:tc>
          <w:tcPr>
            <w:tcW w:w="382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未按照计划执行法律培训与宣传工作，一次扣</w:t>
            </w:r>
            <w:r>
              <w:rPr>
                <w:rFonts w:cs="宋体" w:ascii="宋体" w:hAnsi="宋体"/>
                <w:color w:val="000000"/>
                <w:kern w:val="0"/>
                <w:sz w:val="22"/>
                <w:szCs w:val="22"/>
              </w:rPr>
              <w:t>1</w:t>
            </w:r>
            <w:r>
              <w:rPr>
                <w:rFonts w:ascii="宋体" w:hAnsi="宋体" w:cs="宋体"/>
                <w:color w:val="000000"/>
                <w:kern w:val="0"/>
                <w:sz w:val="22"/>
                <w:szCs w:val="22"/>
              </w:rPr>
              <w:t>分，扣完为止。</w:t>
            </w:r>
          </w:p>
        </w:tc>
        <w:tc>
          <w:tcPr>
            <w:tcW w:w="297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行政管理部／法律事务部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法律事务专员</w:t>
            </w:r>
            <w:r>
              <w:rPr>
                <w:rFonts w:cs="宋体" w:ascii="宋体" w:hAnsi="宋体"/>
                <w:color w:val="000000"/>
                <w:kern w:val="0"/>
                <w:sz w:val="20"/>
                <w:szCs w:val="20"/>
              </w:rPr>
              <w:t>/</w:t>
            </w:r>
            <w:r>
              <w:rPr>
                <w:rFonts w:ascii="宋体" w:hAnsi="宋体" w:cs="宋体"/>
                <w:color w:val="000000"/>
                <w:kern w:val="0"/>
                <w:sz w:val="20"/>
                <w:szCs w:val="20"/>
              </w:rPr>
              <w:t>行政经理</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7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培训宣传效果</w:t>
            </w:r>
          </w:p>
        </w:tc>
        <w:tc>
          <w:tcPr>
            <w:tcW w:w="382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未达到预期目标，或者遭到员工投诉，一次扣</w:t>
            </w:r>
            <w:r>
              <w:rPr>
                <w:rFonts w:cs="宋体" w:ascii="宋体" w:hAnsi="宋体"/>
                <w:color w:val="000000"/>
                <w:kern w:val="0"/>
                <w:sz w:val="22"/>
                <w:szCs w:val="22"/>
              </w:rPr>
              <w:t>2</w:t>
            </w:r>
            <w:r>
              <w:rPr>
                <w:rFonts w:ascii="宋体" w:hAnsi="宋体" w:cs="宋体"/>
                <w:color w:val="000000"/>
                <w:kern w:val="0"/>
                <w:sz w:val="22"/>
                <w:szCs w:val="22"/>
              </w:rPr>
              <w:t>分，最多扣</w:t>
            </w:r>
            <w:r>
              <w:rPr>
                <w:rFonts w:cs="宋体" w:ascii="宋体" w:hAnsi="宋体"/>
                <w:color w:val="000000"/>
                <w:kern w:val="0"/>
                <w:sz w:val="22"/>
                <w:szCs w:val="22"/>
              </w:rPr>
              <w:t>10</w:t>
            </w:r>
            <w:r>
              <w:rPr>
                <w:rFonts w:ascii="宋体" w:hAnsi="宋体" w:cs="宋体"/>
                <w:color w:val="000000"/>
                <w:kern w:val="0"/>
                <w:sz w:val="22"/>
                <w:szCs w:val="22"/>
              </w:rPr>
              <w:t>分。</w:t>
            </w:r>
          </w:p>
        </w:tc>
        <w:tc>
          <w:tcPr>
            <w:tcW w:w="297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行政管理部／法律事务部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法律事务专员</w:t>
            </w:r>
            <w:r>
              <w:rPr>
                <w:rFonts w:cs="宋体" w:ascii="宋体" w:hAnsi="宋体"/>
                <w:color w:val="000000"/>
                <w:kern w:val="0"/>
                <w:sz w:val="20"/>
                <w:szCs w:val="20"/>
              </w:rPr>
              <w:t>/</w:t>
            </w:r>
            <w:r>
              <w:rPr>
                <w:rFonts w:ascii="宋体" w:hAnsi="宋体" w:cs="宋体"/>
                <w:color w:val="000000"/>
                <w:kern w:val="0"/>
                <w:sz w:val="20"/>
                <w:szCs w:val="20"/>
              </w:rPr>
              <w:t>行政经理</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50" w:hRule="atLeast"/>
        </w:trPr>
        <w:tc>
          <w:tcPr>
            <w:tcW w:w="1300" w:type="dxa"/>
            <w:vMerge w:val="restart"/>
            <w:tcBorders>
              <w:start w:val="single" w:sz="8"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人事工作</w:t>
            </w:r>
            <w:r>
              <w:rPr>
                <w:rFonts w:ascii="宋体" w:hAnsi="宋体" w:cs="宋体"/>
                <w:color w:val="000000"/>
                <w:kern w:val="0"/>
                <w:sz w:val="20"/>
                <w:szCs w:val="20"/>
              </w:rPr>
              <w:t>（协助人力资源部门，主要指招聘、入职、调动、离职、奖惩、薪资调整等相关审核或评价工作）</w:t>
            </w:r>
          </w:p>
        </w:tc>
        <w:tc>
          <w:tcPr>
            <w:tcW w:w="1240"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人事工作协助完成情况</w:t>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完成的及时性</w:t>
            </w:r>
          </w:p>
        </w:tc>
        <w:tc>
          <w:tcPr>
            <w:tcW w:w="382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未及时完成相应的工作，一次扣</w:t>
            </w:r>
            <w:r>
              <w:rPr>
                <w:rFonts w:cs="宋体" w:ascii="宋体" w:hAnsi="宋体"/>
                <w:color w:val="000000"/>
                <w:kern w:val="0"/>
                <w:sz w:val="22"/>
                <w:szCs w:val="22"/>
              </w:rPr>
              <w:t>1</w:t>
            </w:r>
            <w:r>
              <w:rPr>
                <w:rFonts w:ascii="宋体" w:hAnsi="宋体" w:cs="宋体"/>
                <w:color w:val="000000"/>
                <w:kern w:val="0"/>
                <w:sz w:val="22"/>
                <w:szCs w:val="22"/>
              </w:rPr>
              <w:t>分，扣完为止。</w:t>
            </w:r>
          </w:p>
        </w:tc>
        <w:tc>
          <w:tcPr>
            <w:tcW w:w="297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行政管理部、人力资源部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行政主管以上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9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完成的准确性</w:t>
            </w:r>
          </w:p>
        </w:tc>
        <w:tc>
          <w:tcPr>
            <w:tcW w:w="382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审核工作出现错误，一次扣</w:t>
            </w:r>
            <w:r>
              <w:rPr>
                <w:rFonts w:cs="宋体" w:ascii="宋体" w:hAnsi="宋体"/>
                <w:color w:val="000000"/>
                <w:kern w:val="0"/>
                <w:sz w:val="22"/>
                <w:szCs w:val="22"/>
              </w:rPr>
              <w:t>1</w:t>
            </w:r>
            <w:r>
              <w:rPr>
                <w:rFonts w:ascii="宋体" w:hAnsi="宋体" w:cs="宋体"/>
                <w:color w:val="000000"/>
                <w:kern w:val="0"/>
                <w:sz w:val="22"/>
                <w:szCs w:val="22"/>
              </w:rPr>
              <w:t>分，扣完为止。</w:t>
            </w:r>
          </w:p>
        </w:tc>
        <w:tc>
          <w:tcPr>
            <w:tcW w:w="297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行政管理部、人力资源部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行政主管以上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6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完成的客观公正性</w:t>
            </w:r>
          </w:p>
        </w:tc>
        <w:tc>
          <w:tcPr>
            <w:tcW w:w="382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主要指相关绩效考核、人事调整、薪资调整等审核、评价工作出现不公正现象，一次扣</w:t>
            </w:r>
            <w:r>
              <w:rPr>
                <w:rFonts w:cs="宋体" w:ascii="宋体" w:hAnsi="宋体"/>
                <w:color w:val="000000"/>
                <w:kern w:val="0"/>
                <w:sz w:val="22"/>
                <w:szCs w:val="22"/>
              </w:rPr>
              <w:t>2</w:t>
            </w:r>
            <w:r>
              <w:rPr>
                <w:rFonts w:ascii="宋体" w:hAnsi="宋体" w:cs="宋体"/>
                <w:color w:val="000000"/>
                <w:kern w:val="0"/>
                <w:sz w:val="22"/>
                <w:szCs w:val="22"/>
              </w:rPr>
              <w:t>分，扣完为止。</w:t>
            </w:r>
          </w:p>
        </w:tc>
        <w:tc>
          <w:tcPr>
            <w:tcW w:w="297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行政管理部、人力资源部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行政主管以上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020" w:hRule="atLeast"/>
        </w:trPr>
        <w:tc>
          <w:tcPr>
            <w:tcW w:w="1300" w:type="dxa"/>
            <w:vMerge w:val="restart"/>
            <w:tcBorders>
              <w:start w:val="single" w:sz="8"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成本控制</w:t>
            </w:r>
          </w:p>
        </w:tc>
        <w:tc>
          <w:tcPr>
            <w:tcW w:w="1240"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行政管理成本控制</w:t>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行政管理费用控制率</w:t>
            </w:r>
          </w:p>
        </w:tc>
        <w:tc>
          <w:tcPr>
            <w:tcW w:w="382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行政部门费用控制率</w:t>
            </w:r>
            <w:r>
              <w:rPr>
                <w:rFonts w:cs="宋体" w:ascii="宋体" w:hAnsi="宋体"/>
                <w:color w:val="000000"/>
                <w:kern w:val="0"/>
                <w:sz w:val="22"/>
                <w:szCs w:val="22"/>
              </w:rPr>
              <w:t>=</w:t>
            </w:r>
            <w:r>
              <w:rPr>
                <w:rFonts w:ascii="宋体" w:hAnsi="宋体" w:cs="宋体"/>
                <w:color w:val="000000"/>
                <w:kern w:val="0"/>
                <w:sz w:val="22"/>
                <w:szCs w:val="22"/>
              </w:rPr>
              <w:t>当期实际费用</w:t>
            </w:r>
            <w:r>
              <w:rPr>
                <w:rFonts w:cs="宋体" w:ascii="宋体" w:hAnsi="宋体"/>
                <w:color w:val="000000"/>
                <w:kern w:val="0"/>
                <w:sz w:val="22"/>
                <w:szCs w:val="22"/>
              </w:rPr>
              <w:t>÷</w:t>
            </w:r>
            <w:r>
              <w:rPr>
                <w:rFonts w:ascii="宋体" w:hAnsi="宋体" w:cs="宋体"/>
                <w:color w:val="000000"/>
                <w:kern w:val="0"/>
                <w:sz w:val="22"/>
                <w:szCs w:val="22"/>
              </w:rPr>
              <w:t>当期预算费用</w:t>
            </w:r>
            <w:r>
              <w:rPr>
                <w:rFonts w:cs="宋体" w:ascii="宋体" w:hAnsi="宋体"/>
                <w:color w:val="000000"/>
                <w:kern w:val="0"/>
                <w:sz w:val="22"/>
                <w:szCs w:val="22"/>
              </w:rPr>
              <w:t>×lOO</w:t>
            </w:r>
            <w:r>
              <w:rPr>
                <w:rFonts w:ascii="宋体" w:hAnsi="宋体" w:cs="宋体"/>
                <w:color w:val="000000"/>
                <w:kern w:val="0"/>
                <w:sz w:val="22"/>
                <w:szCs w:val="22"/>
              </w:rPr>
              <w:t>％（行政管理费用主要指：行政人员工资、各项行政开支、办公费费用等等）</w:t>
            </w:r>
          </w:p>
        </w:tc>
        <w:tc>
          <w:tcPr>
            <w:tcW w:w="297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行政管理部、财务部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行政主管以上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2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工程、维修成本控制</w:t>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工程、维修费用控制率</w:t>
            </w:r>
          </w:p>
        </w:tc>
        <w:tc>
          <w:tcPr>
            <w:tcW w:w="382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工程、维修费用控制率</w:t>
            </w:r>
            <w:r>
              <w:rPr>
                <w:rFonts w:cs="宋体" w:ascii="宋体" w:hAnsi="宋体"/>
                <w:color w:val="000000"/>
                <w:kern w:val="0"/>
                <w:sz w:val="22"/>
                <w:szCs w:val="22"/>
              </w:rPr>
              <w:t>=</w:t>
            </w:r>
            <w:r>
              <w:rPr>
                <w:rFonts w:ascii="宋体" w:hAnsi="宋体" w:cs="宋体"/>
                <w:color w:val="000000"/>
                <w:kern w:val="0"/>
                <w:sz w:val="22"/>
                <w:szCs w:val="22"/>
              </w:rPr>
              <w:t>当期实际发生的费用</w:t>
            </w:r>
            <w:r>
              <w:rPr>
                <w:rFonts w:cs="宋体" w:ascii="宋体" w:hAnsi="宋体"/>
                <w:color w:val="000000"/>
                <w:kern w:val="0"/>
                <w:sz w:val="22"/>
                <w:szCs w:val="22"/>
              </w:rPr>
              <w:t>÷</w:t>
            </w:r>
            <w:r>
              <w:rPr>
                <w:rFonts w:ascii="宋体" w:hAnsi="宋体" w:cs="宋体"/>
                <w:color w:val="000000"/>
                <w:kern w:val="0"/>
                <w:sz w:val="22"/>
                <w:szCs w:val="22"/>
              </w:rPr>
              <w:t>当期预算费用</w:t>
            </w:r>
            <w:r>
              <w:rPr>
                <w:rFonts w:cs="宋体" w:ascii="宋体" w:hAnsi="宋体"/>
                <w:color w:val="000000"/>
                <w:kern w:val="0"/>
                <w:sz w:val="22"/>
                <w:szCs w:val="22"/>
              </w:rPr>
              <w:t>×100</w:t>
            </w:r>
            <w:r>
              <w:rPr>
                <w:rFonts w:ascii="宋体" w:hAnsi="宋体" w:cs="宋体"/>
                <w:color w:val="000000"/>
                <w:kern w:val="0"/>
                <w:sz w:val="22"/>
                <w:szCs w:val="22"/>
              </w:rPr>
              <w:t>％</w:t>
            </w:r>
          </w:p>
        </w:tc>
        <w:tc>
          <w:tcPr>
            <w:tcW w:w="297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行政管理部、财务部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总务科长、行政主管以上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5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车辆管理成本控制</w:t>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维修保养费用控制率</w:t>
            </w:r>
          </w:p>
        </w:tc>
        <w:tc>
          <w:tcPr>
            <w:tcW w:w="382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维修保养费用控制率</w:t>
            </w:r>
            <w:r>
              <w:rPr>
                <w:rFonts w:cs="宋体" w:ascii="宋体" w:hAnsi="宋体"/>
                <w:color w:val="000000"/>
                <w:kern w:val="0"/>
                <w:sz w:val="22"/>
                <w:szCs w:val="22"/>
              </w:rPr>
              <w:t>=</w:t>
            </w:r>
            <w:r>
              <w:rPr>
                <w:rFonts w:ascii="宋体" w:hAnsi="宋体" w:cs="宋体"/>
                <w:color w:val="000000"/>
                <w:kern w:val="0"/>
                <w:sz w:val="22"/>
                <w:szCs w:val="22"/>
              </w:rPr>
              <w:t>当期实际发生的费用</w:t>
            </w:r>
            <w:r>
              <w:rPr>
                <w:rFonts w:cs="宋体" w:ascii="宋体" w:hAnsi="宋体"/>
                <w:color w:val="000000"/>
                <w:kern w:val="0"/>
                <w:sz w:val="22"/>
                <w:szCs w:val="22"/>
              </w:rPr>
              <w:t>÷</w:t>
            </w:r>
            <w:r>
              <w:rPr>
                <w:rFonts w:ascii="宋体" w:hAnsi="宋体" w:cs="宋体"/>
                <w:color w:val="000000"/>
                <w:kern w:val="0"/>
                <w:sz w:val="22"/>
                <w:szCs w:val="22"/>
              </w:rPr>
              <w:t>当期预算费用</w:t>
            </w:r>
            <w:r>
              <w:rPr>
                <w:rFonts w:cs="宋体" w:ascii="宋体" w:hAnsi="宋体"/>
                <w:color w:val="000000"/>
                <w:kern w:val="0"/>
                <w:sz w:val="22"/>
                <w:szCs w:val="22"/>
              </w:rPr>
              <w:t>×100</w:t>
            </w:r>
            <w:r>
              <w:rPr>
                <w:rFonts w:ascii="宋体" w:hAnsi="宋体" w:cs="宋体"/>
                <w:color w:val="000000"/>
                <w:kern w:val="0"/>
                <w:sz w:val="22"/>
                <w:szCs w:val="22"/>
              </w:rPr>
              <w:t>％</w:t>
            </w:r>
          </w:p>
        </w:tc>
        <w:tc>
          <w:tcPr>
            <w:tcW w:w="297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行政管理部、财务部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总务科长、司机、行政主管以上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4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油耗控制率</w:t>
            </w:r>
          </w:p>
        </w:tc>
        <w:tc>
          <w:tcPr>
            <w:tcW w:w="382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油耗控制率</w:t>
            </w:r>
            <w:r>
              <w:rPr>
                <w:rFonts w:cs="宋体" w:ascii="宋体" w:hAnsi="宋体"/>
                <w:color w:val="000000"/>
                <w:kern w:val="0"/>
                <w:sz w:val="22"/>
                <w:szCs w:val="22"/>
              </w:rPr>
              <w:t>=</w:t>
            </w:r>
            <w:r>
              <w:rPr>
                <w:rFonts w:ascii="宋体" w:hAnsi="宋体" w:cs="宋体"/>
                <w:color w:val="000000"/>
                <w:kern w:val="0"/>
                <w:sz w:val="22"/>
                <w:szCs w:val="22"/>
              </w:rPr>
              <w:t>单次实际油耗</w:t>
            </w:r>
            <w:r>
              <w:rPr>
                <w:rFonts w:cs="宋体" w:ascii="宋体" w:hAnsi="宋体"/>
                <w:color w:val="000000"/>
                <w:kern w:val="0"/>
                <w:sz w:val="22"/>
                <w:szCs w:val="22"/>
              </w:rPr>
              <w:t>÷</w:t>
            </w:r>
            <w:r>
              <w:rPr>
                <w:rFonts w:ascii="宋体" w:hAnsi="宋体" w:cs="宋体"/>
                <w:color w:val="000000"/>
                <w:kern w:val="0"/>
                <w:sz w:val="22"/>
                <w:szCs w:val="22"/>
              </w:rPr>
              <w:t>单次油耗标准</w:t>
            </w:r>
            <w:r>
              <w:rPr>
                <w:rFonts w:cs="宋体" w:ascii="宋体" w:hAnsi="宋体"/>
                <w:color w:val="000000"/>
                <w:kern w:val="0"/>
                <w:sz w:val="22"/>
                <w:szCs w:val="22"/>
              </w:rPr>
              <w:t>×100</w:t>
            </w:r>
            <w:r>
              <w:rPr>
                <w:rFonts w:ascii="宋体" w:hAnsi="宋体" w:cs="宋体"/>
                <w:color w:val="000000"/>
                <w:kern w:val="0"/>
                <w:sz w:val="22"/>
                <w:szCs w:val="22"/>
              </w:rPr>
              <w:t>％（单次油耗标准</w:t>
            </w:r>
            <w:r>
              <w:rPr>
                <w:rFonts w:cs="宋体" w:ascii="宋体" w:hAnsi="宋体"/>
                <w:color w:val="000000"/>
                <w:kern w:val="0"/>
                <w:sz w:val="22"/>
                <w:szCs w:val="22"/>
              </w:rPr>
              <w:t>=</w:t>
            </w:r>
            <w:r>
              <w:rPr>
                <w:rFonts w:ascii="宋体" w:hAnsi="宋体" w:cs="宋体"/>
                <w:color w:val="000000"/>
                <w:kern w:val="0"/>
                <w:sz w:val="22"/>
                <w:szCs w:val="22"/>
              </w:rPr>
              <w:t>每公里油耗标准</w:t>
            </w:r>
            <w:r>
              <w:rPr>
                <w:rFonts w:cs="宋体" w:ascii="宋体" w:hAnsi="宋体"/>
                <w:color w:val="000000"/>
                <w:kern w:val="0"/>
                <w:sz w:val="22"/>
                <w:szCs w:val="22"/>
              </w:rPr>
              <w:t>×</w:t>
            </w:r>
            <w:r>
              <w:rPr>
                <w:rFonts w:ascii="宋体" w:hAnsi="宋体" w:cs="宋体"/>
                <w:color w:val="000000"/>
                <w:kern w:val="0"/>
                <w:sz w:val="22"/>
                <w:szCs w:val="22"/>
              </w:rPr>
              <w:t>该次里程）</w:t>
            </w:r>
          </w:p>
        </w:tc>
        <w:tc>
          <w:tcPr>
            <w:tcW w:w="297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行政管理部、财务部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总务科长、司机、行政主管以上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4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tcBorders>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法律成本控制</w:t>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法律费用控制率</w:t>
            </w:r>
          </w:p>
        </w:tc>
        <w:tc>
          <w:tcPr>
            <w:tcW w:w="382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法律费用控制率</w:t>
            </w:r>
            <w:r>
              <w:rPr>
                <w:rFonts w:cs="宋体" w:ascii="宋体" w:hAnsi="宋体"/>
                <w:color w:val="000000"/>
                <w:kern w:val="0"/>
                <w:sz w:val="22"/>
                <w:szCs w:val="22"/>
              </w:rPr>
              <w:t>=</w:t>
            </w:r>
            <w:r>
              <w:rPr>
                <w:rFonts w:ascii="宋体" w:hAnsi="宋体" w:cs="宋体"/>
                <w:color w:val="000000"/>
                <w:kern w:val="0"/>
                <w:sz w:val="22"/>
                <w:szCs w:val="22"/>
              </w:rPr>
              <w:t>当期实际费用</w:t>
            </w:r>
            <w:r>
              <w:rPr>
                <w:rFonts w:cs="宋体" w:ascii="宋体" w:hAnsi="宋体"/>
                <w:color w:val="000000"/>
                <w:kern w:val="0"/>
                <w:sz w:val="22"/>
                <w:szCs w:val="22"/>
              </w:rPr>
              <w:t>÷</w:t>
            </w:r>
            <w:r>
              <w:rPr>
                <w:rFonts w:ascii="宋体" w:hAnsi="宋体" w:cs="宋体"/>
                <w:color w:val="000000"/>
                <w:kern w:val="0"/>
                <w:sz w:val="22"/>
                <w:szCs w:val="22"/>
              </w:rPr>
              <w:t>当期平均费用（按照去年平均水平计算）</w:t>
            </w:r>
            <w:r>
              <w:rPr>
                <w:rFonts w:cs="宋体" w:ascii="宋体" w:hAnsi="宋体"/>
                <w:color w:val="000000"/>
                <w:kern w:val="0"/>
                <w:sz w:val="22"/>
                <w:szCs w:val="22"/>
              </w:rPr>
              <w:t>×lOO</w:t>
            </w:r>
            <w:r>
              <w:rPr>
                <w:rFonts w:ascii="宋体" w:hAnsi="宋体" w:cs="宋体"/>
                <w:color w:val="000000"/>
                <w:kern w:val="0"/>
                <w:sz w:val="22"/>
                <w:szCs w:val="22"/>
              </w:rPr>
              <w:t>％</w:t>
            </w:r>
          </w:p>
        </w:tc>
        <w:tc>
          <w:tcPr>
            <w:tcW w:w="297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行政管理部、财务部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法律事务专员</w:t>
            </w:r>
            <w:r>
              <w:rPr>
                <w:rFonts w:cs="宋体" w:ascii="宋体" w:hAnsi="宋体"/>
                <w:color w:val="000000"/>
                <w:kern w:val="0"/>
                <w:sz w:val="20"/>
                <w:szCs w:val="20"/>
              </w:rPr>
              <w:t>/</w:t>
            </w:r>
            <w:r>
              <w:rPr>
                <w:rFonts w:ascii="宋体" w:hAnsi="宋体" w:cs="宋体"/>
                <w:color w:val="000000"/>
                <w:kern w:val="0"/>
                <w:sz w:val="20"/>
                <w:szCs w:val="20"/>
              </w:rPr>
              <w:t>行政主管以上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25" w:hRule="atLeast"/>
        </w:trPr>
        <w:tc>
          <w:tcPr>
            <w:tcW w:w="1300" w:type="dxa"/>
            <w:vMerge w:val="restart"/>
            <w:tcBorders>
              <w:start w:val="single" w:sz="8"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日常工作管理</w:t>
            </w:r>
          </w:p>
        </w:tc>
        <w:tc>
          <w:tcPr>
            <w:tcW w:w="1240"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计划与落实</w:t>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工作总结与计划</w:t>
            </w:r>
          </w:p>
        </w:tc>
        <w:tc>
          <w:tcPr>
            <w:tcW w:w="382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每周、每月、每个季度、每年定期按照要求准时提交工作总结与计划，并进行汇报。</w:t>
            </w:r>
          </w:p>
        </w:tc>
        <w:tc>
          <w:tcPr>
            <w:tcW w:w="297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要求阶段性管理规划或者工作计划做到合理性及其可行性，且得到领导认可。</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行政管理部、领导评价</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1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工作计划完成情况</w:t>
            </w:r>
          </w:p>
        </w:tc>
        <w:tc>
          <w:tcPr>
            <w:tcW w:w="382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按照个人工作计划及公司要求，</w:t>
            </w:r>
            <w:r>
              <w:rPr>
                <w:rFonts w:cs="宋体" w:ascii="宋体" w:hAnsi="宋体"/>
                <w:color w:val="000000"/>
                <w:kern w:val="0"/>
                <w:sz w:val="22"/>
                <w:szCs w:val="22"/>
              </w:rPr>
              <w:t>100%</w:t>
            </w:r>
            <w:r>
              <w:rPr>
                <w:rFonts w:ascii="宋体" w:hAnsi="宋体" w:cs="宋体"/>
                <w:color w:val="000000"/>
                <w:kern w:val="0"/>
                <w:sz w:val="22"/>
                <w:szCs w:val="22"/>
              </w:rPr>
              <w:t>高质量完成工作任务。</w:t>
            </w:r>
          </w:p>
        </w:tc>
        <w:tc>
          <w:tcPr>
            <w:tcW w:w="297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行政管理部、领导评价</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45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制度建立与执行</w:t>
            </w:r>
          </w:p>
        </w:tc>
        <w:tc>
          <w:tcPr>
            <w:tcW w:w="1570" w:type="dxa"/>
            <w:tcBorders>
              <w:top w:val="single" w:sz="4" w:space="0" w:color="000000"/>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制度与流程建设</w:t>
            </w:r>
          </w:p>
        </w:tc>
        <w:tc>
          <w:tcPr>
            <w:tcW w:w="382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制度的完善性与有效性，流程的简化程度以及高效性。具体包括档案管理制度、办公室管理规定、办公用品管理制度、车辆使用管理制度、会议室使用管理制度、员工奖惩制度、合同管理制度，等等。</w:t>
            </w:r>
          </w:p>
        </w:tc>
        <w:tc>
          <w:tcPr>
            <w:tcW w:w="2976" w:type="dxa"/>
            <w:tcBorders>
              <w:bottom w:val="single" w:sz="4" w:space="0" w:color="000000"/>
              <w:end w:val="single" w:sz="4" w:space="0" w:color="000000"/>
            </w:tcBorders>
            <w:shd w:color="000000" w:fill="FFFFFF" w:val="clea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（应根据不同职位、不同岗位要求明确具体的制度建设内容。）</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行政管理部、领导评价</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4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行政管理制度的执行</w:t>
            </w:r>
          </w:p>
        </w:tc>
        <w:tc>
          <w:tcPr>
            <w:tcW w:w="382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严格按照行政管理制度与流程执行工作。</w:t>
            </w:r>
          </w:p>
        </w:tc>
        <w:tc>
          <w:tcPr>
            <w:tcW w:w="297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行政管理部、领导评价</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59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团队管理</w:t>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员工满意度</w:t>
            </w:r>
          </w:p>
        </w:tc>
        <w:tc>
          <w:tcPr>
            <w:tcW w:w="382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员工满意度达到</w:t>
            </w:r>
            <w:r>
              <w:rPr>
                <w:rFonts w:ascii="宋体" w:hAnsi="宋体" w:cs="宋体"/>
                <w:color w:val="000000"/>
                <w:kern w:val="0"/>
                <w:sz w:val="22"/>
                <w:szCs w:val="22"/>
                <w:u w:val="single"/>
              </w:rPr>
              <w:t xml:space="preserve">         。</w:t>
            </w:r>
          </w:p>
        </w:tc>
        <w:tc>
          <w:tcPr>
            <w:tcW w:w="297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团队管理主要指培育、指导、考核部门员工；员工满意度是指团队成员对该公司或者部门的工作氛围、工作环境、领导风格、领导支持（学习发展、生活关爱、成长辅导支持）等方面的满意程度。</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行政管理部、人力资源部、员工满意度</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8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部门绩效考核</w:t>
            </w:r>
          </w:p>
        </w:tc>
        <w:tc>
          <w:tcPr>
            <w:tcW w:w="382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绩效考核数据的准确率、完成的及时率。</w:t>
            </w:r>
          </w:p>
        </w:tc>
        <w:tc>
          <w:tcPr>
            <w:tcW w:w="297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行政管理部、人力资源部、员工满意度</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4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组织或部门的凝聚力</w:t>
            </w:r>
          </w:p>
        </w:tc>
        <w:tc>
          <w:tcPr>
            <w:tcW w:w="382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组织表现为较强的凝聚力，员工协同能力强。</w:t>
            </w:r>
          </w:p>
        </w:tc>
        <w:tc>
          <w:tcPr>
            <w:tcW w:w="297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行政管理部、人力资源部、员工满意度</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3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组织执行力</w:t>
            </w:r>
          </w:p>
        </w:tc>
        <w:tc>
          <w:tcPr>
            <w:tcW w:w="382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执行力强，计划、制度得到严格、高效执行。</w:t>
            </w:r>
          </w:p>
        </w:tc>
        <w:tc>
          <w:tcPr>
            <w:tcW w:w="297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行政管理部、人力资源部、员工满意度</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4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员工能力提升及个人职业生涯规划发展</w:t>
            </w:r>
          </w:p>
        </w:tc>
        <w:tc>
          <w:tcPr>
            <w:tcW w:w="382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员工能力得到大幅度提升，或者员工对个人职业生涯规划发展满意。</w:t>
            </w:r>
          </w:p>
        </w:tc>
        <w:tc>
          <w:tcPr>
            <w:tcW w:w="297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行政管理部、人力资源部、员工满意度</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4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内部沟通管理</w:t>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沟通活动</w:t>
            </w:r>
          </w:p>
        </w:tc>
        <w:tc>
          <w:tcPr>
            <w:tcW w:w="382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定期或者不定期举行工作例会、沟通会议、报告会议、问题协调讨论会等等，并及时解决各项问题。</w:t>
            </w:r>
          </w:p>
        </w:tc>
        <w:tc>
          <w:tcPr>
            <w:tcW w:w="297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行政管理部、领导评价</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02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关系协调</w:t>
            </w:r>
          </w:p>
        </w:tc>
        <w:tc>
          <w:tcPr>
            <w:tcW w:w="382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与其它部门、供应商、合作伙伴、客户等保持良好关系。</w:t>
            </w:r>
          </w:p>
        </w:tc>
        <w:tc>
          <w:tcPr>
            <w:tcW w:w="297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主要表现为内部部门之间关系和谐、协同性强；与外部机构保持良好的沟通机制。企业内外部客户没有投诉现象。</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行政管理部、其它部门反馈、客户反馈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0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其它日常工作</w:t>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其它日常工作</w:t>
            </w:r>
          </w:p>
        </w:tc>
        <w:tc>
          <w:tcPr>
            <w:tcW w:w="382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公司统一开展的活动或要求的事项是否按时完成。</w:t>
            </w:r>
          </w:p>
        </w:tc>
        <w:tc>
          <w:tcPr>
            <w:tcW w:w="2976"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00" w:hRule="atLeast"/>
        </w:trPr>
        <w:tc>
          <w:tcPr>
            <w:tcW w:w="1300" w:type="dxa"/>
            <w:vMerge w:val="restart"/>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知识、技能与品质</w:t>
            </w:r>
          </w:p>
        </w:tc>
        <w:tc>
          <w:tcPr>
            <w:tcW w:w="1240"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领导力</w:t>
            </w:r>
          </w:p>
        </w:tc>
        <w:tc>
          <w:tcPr>
            <w:tcW w:w="1570"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成就特征</w:t>
            </w:r>
          </w:p>
        </w:tc>
        <w:tc>
          <w:tcPr>
            <w:tcW w:w="3828"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成就导向、积极主动性。</w:t>
            </w:r>
          </w:p>
        </w:tc>
        <w:tc>
          <w:tcPr>
            <w:tcW w:w="2976"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行政管理部、人力资源部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00" w:hRule="atLeast"/>
        </w:trPr>
        <w:tc>
          <w:tcPr>
            <w:tcW w:w="1300"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服务与助人特征</w:t>
            </w:r>
          </w:p>
        </w:tc>
        <w:tc>
          <w:tcPr>
            <w:tcW w:w="3828"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顾客服务能力。</w:t>
            </w:r>
          </w:p>
        </w:tc>
        <w:tc>
          <w:tcPr>
            <w:tcW w:w="2976"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行政管理部、人力资源部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00" w:hRule="atLeast"/>
        </w:trPr>
        <w:tc>
          <w:tcPr>
            <w:tcW w:w="1300"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影响特征</w:t>
            </w:r>
          </w:p>
        </w:tc>
        <w:tc>
          <w:tcPr>
            <w:tcW w:w="3828"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影响力、关系建立能力。</w:t>
            </w:r>
          </w:p>
        </w:tc>
        <w:tc>
          <w:tcPr>
            <w:tcW w:w="2976"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行政管理部、人力资源部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00" w:hRule="atLeast"/>
        </w:trPr>
        <w:tc>
          <w:tcPr>
            <w:tcW w:w="1300"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管理特征</w:t>
            </w:r>
          </w:p>
        </w:tc>
        <w:tc>
          <w:tcPr>
            <w:tcW w:w="3828"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决策力、组织领导能力、培训他人能力、团队协作能力、建立信任与尊重。</w:t>
            </w:r>
          </w:p>
        </w:tc>
        <w:tc>
          <w:tcPr>
            <w:tcW w:w="2976"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行政管理部、人力资源部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00" w:hRule="atLeast"/>
        </w:trPr>
        <w:tc>
          <w:tcPr>
            <w:tcW w:w="1300"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认知特征</w:t>
            </w:r>
          </w:p>
        </w:tc>
        <w:tc>
          <w:tcPr>
            <w:tcW w:w="3828"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专业知识、经验与技能、分析思考能力、创新与变革能力。</w:t>
            </w:r>
          </w:p>
        </w:tc>
        <w:tc>
          <w:tcPr>
            <w:tcW w:w="2976"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行政管理部、人力资源部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00" w:hRule="atLeast"/>
        </w:trPr>
        <w:tc>
          <w:tcPr>
            <w:tcW w:w="1300"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个人特征</w:t>
            </w:r>
          </w:p>
        </w:tc>
        <w:tc>
          <w:tcPr>
            <w:tcW w:w="3828" w:type="dxa"/>
            <w:tcBorders>
              <w:bottom w:val="single" w:sz="4" w:space="0" w:color="000000"/>
              <w:end w:val="single" w:sz="4" w:space="0" w:color="000000"/>
            </w:tcBorders>
            <w:shd w:color="000000" w:fill="FFFFFF"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诚实正直、自信心、专业学习能力、适应能力、预测与应对能力、组织认同。</w:t>
            </w:r>
          </w:p>
        </w:tc>
        <w:tc>
          <w:tcPr>
            <w:tcW w:w="2976"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行政管理部、人力资源部</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849"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155" w:hRule="atLeast"/>
        </w:trPr>
        <w:tc>
          <w:tcPr>
            <w:tcW w:w="1300"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bottom w:val="single" w:sz="8"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一般要求的知识、技能与品质</w:t>
            </w:r>
          </w:p>
        </w:tc>
        <w:tc>
          <w:tcPr>
            <w:tcW w:w="1570"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知识与技能</w:t>
            </w:r>
          </w:p>
        </w:tc>
        <w:tc>
          <w:tcPr>
            <w:tcW w:w="3828"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岗位要求所必须的知识（基础知识、业务知识、关联知识）及技能水平（包括分析判断能力、沟通能力、问题解决能力、团队合作精神以及协调性）。</w:t>
            </w:r>
          </w:p>
        </w:tc>
        <w:tc>
          <w:tcPr>
            <w:tcW w:w="2976"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　</w:t>
            </w:r>
          </w:p>
        </w:tc>
        <w:tc>
          <w:tcPr>
            <w:tcW w:w="1134" w:type="dxa"/>
            <w:tcBorders>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85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行政管理部、人力资源部</w:t>
            </w:r>
          </w:p>
        </w:tc>
        <w:tc>
          <w:tcPr>
            <w:tcW w:w="1134" w:type="dxa"/>
            <w:tcBorders>
              <w:bottom w:val="single" w:sz="4" w:space="0" w:color="000000"/>
            </w:tcBorders>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start w:val="single" w:sz="4" w:space="0" w:color="000000"/>
              <w:bottom w:val="single" w:sz="4" w:space="0" w:color="000000"/>
              <w:end w:val="single" w:sz="8" w:space="0" w:color="000000"/>
            </w:tcBorders>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r>
      <w:tr>
        <w:trPr>
          <w:trHeight w:val="1170" w:hRule="atLeast"/>
        </w:trPr>
        <w:tc>
          <w:tcPr>
            <w:tcW w:w="1300"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0" w:type="dxa"/>
            <w:tcBorders>
              <w:bottom w:val="single" w:sz="8"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愿望与态度</w:t>
            </w:r>
          </w:p>
        </w:tc>
        <w:tc>
          <w:tcPr>
            <w:tcW w:w="3828" w:type="dxa"/>
            <w:tcBorders>
              <w:bottom w:val="single" w:sz="8" w:space="0" w:color="000000"/>
              <w:end w:val="single" w:sz="4" w:space="0" w:color="000000"/>
            </w:tcBorders>
            <w:shd w:color="000000" w:fill="FFFFFF"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主要指公司要求的通用类素质（公司可根据自我需求进行调整），例如创新与改善能力、诚信正直、责任感、纪律性、工作热情、服务态度等等。</w:t>
            </w:r>
          </w:p>
        </w:tc>
        <w:tc>
          <w:tcPr>
            <w:tcW w:w="2976" w:type="dxa"/>
            <w:tcBorders>
              <w:bottom w:val="single" w:sz="8" w:space="0" w:color="000000"/>
              <w:end w:val="single" w:sz="4" w:space="0" w:color="000000"/>
            </w:tcBorders>
            <w:shd w:color="000000" w:fill="FFFFFF"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　</w:t>
            </w:r>
          </w:p>
        </w:tc>
        <w:tc>
          <w:tcPr>
            <w:tcW w:w="1134" w:type="dxa"/>
            <w:tcBorders>
              <w:bottom w:val="single" w:sz="8"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851" w:type="dxa"/>
            <w:tcBorders>
              <w:bottom w:val="single" w:sz="8"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行政管理部、人力资源部</w:t>
            </w:r>
          </w:p>
        </w:tc>
        <w:tc>
          <w:tcPr>
            <w:tcW w:w="1134" w:type="dxa"/>
            <w:tcBorders>
              <w:start w:val="single" w:sz="4" w:space="0" w:color="000000"/>
              <w:bottom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849" w:type="dxa"/>
            <w:tcBorders>
              <w:start w:val="single" w:sz="4" w:space="0" w:color="000000"/>
              <w:bottom w:val="single" w:sz="8" w:space="0" w:color="000000"/>
              <w:end w:val="single" w:sz="8"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r>
    </w:tbl>
    <w:p>
      <w:pPr>
        <w:pStyle w:val="Normal"/>
        <w:bidi w:val="0"/>
        <w:spacing w:lineRule="exact" w:line="360"/>
        <w:ind w:start="-424" w:end="-567" w:firstLine="468"/>
        <w:jc w:val="start"/>
        <w:rPr>
          <w:rFonts w:ascii="楷体_GB2312" w:hAnsi="楷体_GB2312" w:eastAsia="楷体_GB2312"/>
          <w:sz w:val="24"/>
        </w:rPr>
      </w:pPr>
      <w:r>
        <w:rPr/>
      </w:r>
    </w:p>
    <w:sectPr>
      <w:headerReference w:type="default" r:id="rId7"/>
      <w:footerReference w:type="default" r:id="rId8"/>
      <w:type w:val="nextPage"/>
      <w:pgSz w:orient="landscape" w:w="16838" w:h="11906"/>
      <w:pgMar w:left="1021" w:right="1440" w:header="567" w:top="1701" w:footer="992" w:bottom="1701" w:gutter="0"/>
      <w:pgNumType w:fmt="decimal"/>
      <w:formProt w:val="false"/>
      <w:textDirection w:val="lrTb"/>
      <w:docGrid w:type="linesAndChar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Cambria">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 w:name="宋体">
    <w:charset w:val="01" w:characterSet="utf-8"/>
    <w:family w:val="roman"/>
    <w:pitch w:val="variable"/>
  </w:font>
  <w:font w:name="黑体">
    <w:charset w:val="01" w:characterSet="utf-8"/>
    <w:family w:val="roman"/>
    <w:pitch w:val="variable"/>
  </w:font>
  <w:font w:name="微软雅黑">
    <w:charset w:val="01" w:characterSet="utf-8"/>
    <w:family w:val="roman"/>
    <w:pitch w:val="variable"/>
  </w:font>
  <w:font w:name="楷体_GB2312">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start"/>
      <w:rPr>
        <w:color w:val="333333"/>
        <w:u w:val="single"/>
      </w:rPr>
    </w:pPr>
    <w:r>
      <w:rPr>
        <w:color w:val="333333"/>
        <w:u w:val="single"/>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start"/>
      <w:rPr>
        <w:color w:val="333333"/>
        <w:u w:val="single"/>
      </w:rPr>
    </w:pPr>
    <w:r>
      <w:rPr>
        <w:color w:val="333333"/>
        <w:u w:val="single"/>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start"/>
      <w:rPr>
        <w:color w:val="333333"/>
        <w:u w:val="single"/>
      </w:rPr>
    </w:pPr>
    <w:r>
      <w:rPr>
        <w:color w:val="333333"/>
        <w:u w:val="single"/>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ind w:start="-1" w:hanging="140"/>
      <w:jc w:val="both"/>
      <w:rPr>
        <w:rFonts w:ascii="黑体" w:hAnsi="黑体" w:eastAsia="黑体" w:cs="宋体"/>
        <w:bCs/>
        <w:kern w:val="0"/>
        <w:sz w:val="36"/>
        <w:szCs w:val="36"/>
      </w:rPr>
    </w:pPr>
    <w:r>
      <w:rPr>
        <w:rFonts w:eastAsia="黑体" w:cs="宋体" w:ascii="黑体" w:hAnsi="黑体"/>
        <w:bCs/>
        <w:kern w:val="0"/>
        <w:sz w:val="36"/>
        <w:szCs w:val="3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ind w:start="-1" w:hanging="140"/>
      <w:jc w:val="both"/>
      <w:rPr>
        <w:rFonts w:ascii="黑体" w:hAnsi="黑体" w:eastAsia="黑体" w:cs="宋体"/>
        <w:bCs/>
        <w:kern w:val="0"/>
        <w:sz w:val="36"/>
        <w:szCs w:val="36"/>
      </w:rPr>
    </w:pPr>
    <w:r>
      <w:rPr>
        <w:rFonts w:eastAsia="黑体" w:cs="宋体" w:ascii="黑体" w:hAnsi="黑体"/>
        <w:bCs/>
        <w:kern w:val="0"/>
        <w:sz w:val="36"/>
        <w:szCs w:val="3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ind w:start="-1" w:hanging="140"/>
      <w:jc w:val="both"/>
      <w:rPr>
        <w:rFonts w:ascii="黑体" w:hAnsi="黑体" w:eastAsia="黑体" w:cs="宋体"/>
        <w:bCs/>
        <w:kern w:val="0"/>
        <w:sz w:val="36"/>
        <w:szCs w:val="36"/>
      </w:rPr>
    </w:pPr>
    <w:r>
      <w:rPr>
        <w:rFonts w:eastAsia="黑体" w:cs="宋体" w:ascii="黑体" w:hAnsi="黑体"/>
        <w:bCs/>
        <w:kern w:val="0"/>
        <w:sz w:val="36"/>
        <w:szCs w:val="3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hineseCountingThousand"/>
      <w:suff w:val="nothing"/>
      <w:lvlText w:val="第%1章  "/>
      <w:lvlJc w:val="start"/>
      <w:pPr>
        <w:tabs>
          <w:tab w:val="num" w:pos="0"/>
        </w:tabs>
        <w:ind w:start="0" w:hanging="0"/>
      </w:pPr>
      <w:rPr>
        <w:sz w:val="48"/>
        <w:i w:val="false"/>
        <w:b/>
        <w:rFonts w:ascii="楷体_GB2312" w:hAnsi="楷体_GB2312" w:eastAsia="楷体_GB2312"/>
      </w:rPr>
    </w:lvl>
    <w:lvl w:ilvl="1">
      <w:start w:val="1"/>
      <w:pStyle w:val="Heading2"/>
      <w:numFmt w:val="chineseCountingThousand"/>
      <w:suff w:val="nothing"/>
      <w:lvlText w:val="第%2节  "/>
      <w:lvlJc w:val="start"/>
      <w:pPr>
        <w:tabs>
          <w:tab w:val="num" w:pos="0"/>
        </w:tabs>
        <w:ind w:start="0" w:hanging="0"/>
      </w:pPr>
      <w:rPr>
        <w:smallCaps w:val="false"/>
        <w:caps w:val="false"/>
        <w:outline w:val="false"/>
        <w:dstrike w:val="false"/>
        <w:strike w:val="false"/>
        <w:sz w:val="32"/>
        <w:i w:val="false"/>
        <w:shadow w:val="false"/>
        <w:b/>
        <w:kern w:val="0"/>
        <w:rFonts w:ascii="楷体_GB2312" w:hAnsi="楷体_GB2312" w:eastAsia="楷体_GB2312"/>
      </w:rPr>
    </w:lvl>
    <w:lvl w:ilvl="2">
      <w:start w:val="1"/>
      <w:pStyle w:val="Heading3"/>
      <w:numFmt w:val="chineseCountingThousand"/>
      <w:suff w:val="nothing"/>
      <w:lvlText w:val="%3、"/>
      <w:lvlJc w:val="start"/>
      <w:pPr>
        <w:tabs>
          <w:tab w:val="num" w:pos="0"/>
        </w:tabs>
        <w:ind w:start="624" w:hanging="624"/>
      </w:pPr>
      <w:rPr>
        <w:sz w:val="28"/>
        <w:i w:val="false"/>
        <w:b w:val="false"/>
        <w:rFonts w:ascii="楷体_GB2312" w:hAnsi="楷体_GB2312" w:eastAsia="楷体_GB2312"/>
      </w:rPr>
    </w:lvl>
    <w:lvl w:ilvl="3">
      <w:start w:val="1"/>
      <w:pStyle w:val="Heading4"/>
      <w:numFmt w:val="chineseCountingThousand"/>
      <w:suff w:val="nothing"/>
      <w:lvlText w:val="（%4）"/>
      <w:lvlJc w:val="center"/>
      <w:pPr>
        <w:tabs>
          <w:tab w:val="num" w:pos="0"/>
        </w:tabs>
        <w:ind w:start="964" w:hanging="397"/>
      </w:pPr>
      <w:rPr>
        <w:sz w:val="28"/>
        <w:i w:val="false"/>
        <w:b w:val="false"/>
        <w:rFonts w:ascii="黑体" w:hAnsi="黑体" w:eastAsia="黑体"/>
      </w:rPr>
    </w:lvl>
    <w:lvl w:ilvl="4">
      <w:start w:val="1"/>
      <w:pStyle w:val="Heading5"/>
      <w:numFmt w:val="decimal"/>
      <w:suff w:val="nothing"/>
      <w:lvlText w:val="%5、"/>
      <w:lvlJc w:val="start"/>
      <w:pPr>
        <w:tabs>
          <w:tab w:val="num" w:pos="0"/>
        </w:tabs>
        <w:ind w:start="907" w:hanging="453"/>
      </w:pPr>
      <w:rPr>
        <w:sz w:val="24"/>
        <w:i w:val="false"/>
        <w:b w:val="false"/>
        <w:rFonts w:ascii="宋体" w:hAnsi="宋体" w:eastAsia="宋体"/>
      </w:rPr>
    </w:lvl>
    <w:lvl w:ilvl="5">
      <w:start w:val="1"/>
      <w:pStyle w:val="Heading6"/>
      <w:numFmt w:val="decimal"/>
      <w:suff w:val="nothing"/>
      <w:lvlText w:val="（%6）"/>
      <w:lvlJc w:val="start"/>
      <w:pPr>
        <w:tabs>
          <w:tab w:val="num" w:pos="0"/>
        </w:tabs>
        <w:ind w:start="1474" w:hanging="623"/>
      </w:pPr>
      <w:rPr>
        <w:sz w:val="24"/>
        <w:i w:val="false"/>
        <w:b w:val="false"/>
        <w:rFonts w:ascii="宋体" w:hAnsi="宋体" w:eastAsia="宋体"/>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60"/>
  <w:defaultTabStop w:val="420"/>
  <w:autoHyphenation w:val="true"/>
  <w:compat>
    <w:doNotExpandShiftReturn/>
    <w:compatSetting w:name="compatibilityMode" w:uri="http://schemas.microsoft.com/office/word" w:val="1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Times New Roman"/>
        <w:lang w:val="en-US"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semiHidden="0" w:unhideWhenUsed="0" w:qFormat="1"/>
    <w:lsdException w:name="heading 5" w:uiPriority="0" w:semiHidden="0" w:unhideWhenUsed="0" w:qFormat="1"/>
    <w:lsdException w:name="heading 6" w:uiPriority="0" w:semiHidden="0" w:unhideWhenUsed="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39" w:semiHidden="0" w:unhideWhenUsed="0" w:qFormat="1"/>
    <w:lsdException w:name="toc 2" w:uiPriority="39" w:semiHidden="0" w:unhideWhenUsed="0" w:qFormat="1"/>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qFormat="1"/>
    <w:lsdException w:name="annotation text" w:uiPriority="0" w:semiHidden="0" w:unhideWhenUsed="0"/>
    <w:lsdException w:name="header" w:uiPriority="0" w:semiHidden="0" w:unhideWhenUsed="0" w:qFormat="1"/>
    <w:lsdException w:name="footer" w:uiPriority="0" w:semiHidden="0" w:unhideWhenUsed="0" w:qFormat="1"/>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qFormat="1"/>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1"/>
    <w:lsdException w:name="Body Text" w:uiPriority="0" w:semiHidden="0" w:unhideWhenUsed="0" w:qFormat="1"/>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99" w:semiHidden="0" w:unhideWhenUsed="0"/>
    <w:lsdException w:name="FollowedHyperlink" w:uiPriority="99" w:semiHidden="0" w:qFormat="1"/>
    <w:lsdException w:name="Strong" w:uiPriority="0" w:semiHidden="0" w:unhideWhenUsed="0" w:qFormat="1"/>
    <w:lsdException w:name="Emphasis" w:uiPriority="2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99"/>
    <w:lsdException w:name="annotation subject" w:uiPriority="0" w:semiHidden="0" w:unhideWhenUsed="0"/>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0" w:unhideWhenUsed="0"/>
    <w:lsdException w:name="Table Grid" w:uiPriority="99" w:semiHidden="0" w:unhideWhenUsed="0"/>
    <w:lsdException w:name="Table Theme" w:uiPriority="99"/>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val="false"/>
      <w:bidi w:val="0"/>
      <w:jc w:val="both"/>
    </w:pPr>
    <w:rPr>
      <w:rFonts w:ascii="Times New Roman" w:hAnsi="Times New Roman" w:eastAsia="宋体" w:cs="Times New Roman"/>
      <w:color w:val="auto"/>
      <w:kern w:val="2"/>
      <w:sz w:val="21"/>
      <w:szCs w:val="24"/>
      <w:lang w:val="en-US" w:eastAsia="zh-CN" w:bidi="ar-SA"/>
    </w:rPr>
  </w:style>
  <w:style w:type="paragraph" w:styleId="Heading1">
    <w:name w:val="Heading 1"/>
    <w:basedOn w:val="Normal"/>
    <w:next w:val="TextBody"/>
    <w:link w:val="104"/>
    <w:uiPriority w:val="0"/>
    <w:qFormat/>
    <w:pPr>
      <w:widowControl/>
      <w:numPr>
        <w:ilvl w:val="0"/>
        <w:numId w:val="1"/>
      </w:numPr>
      <w:snapToGrid w:val="false"/>
      <w:spacing w:lineRule="atLeast" w:line="280" w:before="120" w:after="240"/>
      <w:jc w:val="center"/>
      <w:outlineLvl w:val="0"/>
    </w:pPr>
    <w:rPr>
      <w:rFonts w:ascii="Arial" w:hAnsi="Arial" w:eastAsia="楷体_GB2312"/>
      <w:b/>
      <w:kern w:val="2"/>
      <w:sz w:val="44"/>
      <w:szCs w:val="20"/>
      <w:vertAlign w:val="superscript"/>
    </w:rPr>
  </w:style>
  <w:style w:type="paragraph" w:styleId="Heading2">
    <w:name w:val="Heading 2"/>
    <w:basedOn w:val="Normal"/>
    <w:next w:val="TextBody"/>
    <w:link w:val="105"/>
    <w:uiPriority w:val="0"/>
    <w:qFormat/>
    <w:pPr>
      <w:widowControl/>
      <w:numPr>
        <w:ilvl w:val="1"/>
        <w:numId w:val="1"/>
      </w:numPr>
      <w:snapToGrid w:val="false"/>
      <w:spacing w:lineRule="auto" w:line="420" w:before="240" w:after="240"/>
      <w:jc w:val="center"/>
      <w:outlineLvl w:val="1"/>
    </w:pPr>
    <w:rPr>
      <w:rFonts w:ascii="Arial" w:hAnsi="Arial" w:eastAsia="楷体_GB2312"/>
      <w:b/>
      <w:kern w:val="2"/>
      <w:sz w:val="32"/>
      <w:szCs w:val="20"/>
    </w:rPr>
  </w:style>
  <w:style w:type="paragraph" w:styleId="Heading3">
    <w:name w:val="Heading 3"/>
    <w:basedOn w:val="Normal"/>
    <w:next w:val="TextBody"/>
    <w:link w:val="106"/>
    <w:uiPriority w:val="0"/>
    <w:qFormat/>
    <w:pPr>
      <w:keepNext w:val="true"/>
      <w:widowControl/>
      <w:numPr>
        <w:ilvl w:val="2"/>
        <w:numId w:val="1"/>
      </w:numPr>
      <w:snapToGrid w:val="false"/>
      <w:spacing w:lineRule="atLeast" w:line="220" w:before="140" w:after="120"/>
      <w:outlineLvl w:val="2"/>
    </w:pPr>
    <w:rPr>
      <w:rFonts w:ascii="Arial" w:hAnsi="Arial" w:eastAsia="楷体_GB2312"/>
      <w:spacing w:val="-4"/>
      <w:kern w:val="2"/>
      <w:sz w:val="32"/>
      <w:szCs w:val="20"/>
    </w:rPr>
  </w:style>
  <w:style w:type="paragraph" w:styleId="Heading4">
    <w:name w:val="Heading 4"/>
    <w:basedOn w:val="Normal"/>
    <w:next w:val="TextBody"/>
    <w:link w:val="107"/>
    <w:uiPriority w:val="0"/>
    <w:qFormat/>
    <w:pPr>
      <w:widowControl/>
      <w:numPr>
        <w:ilvl w:val="3"/>
        <w:numId w:val="1"/>
      </w:numPr>
      <w:snapToGrid w:val="false"/>
      <w:spacing w:lineRule="atLeast" w:line="220" w:before="140" w:after="120"/>
      <w:outlineLvl w:val="3"/>
    </w:pPr>
    <w:rPr>
      <w:rFonts w:ascii="Arial" w:hAnsi="Arial" w:eastAsia="黑体"/>
      <w:b/>
      <w:spacing w:val="-4"/>
      <w:kern w:val="2"/>
      <w:sz w:val="28"/>
      <w:szCs w:val="20"/>
    </w:rPr>
  </w:style>
  <w:style w:type="paragraph" w:styleId="Heading5">
    <w:name w:val="Heading 5"/>
    <w:basedOn w:val="Normal"/>
    <w:next w:val="TextBody"/>
    <w:link w:val="108"/>
    <w:uiPriority w:val="0"/>
    <w:qFormat/>
    <w:pPr>
      <w:widowControl/>
      <w:numPr>
        <w:ilvl w:val="4"/>
        <w:numId w:val="1"/>
      </w:numPr>
      <w:snapToGrid w:val="false"/>
      <w:spacing w:lineRule="exact" w:line="440" w:before="120" w:after="120"/>
      <w:outlineLvl w:val="4"/>
    </w:pPr>
    <w:rPr>
      <w:b/>
      <w:spacing w:val="-4"/>
      <w:kern w:val="2"/>
      <w:sz w:val="24"/>
      <w:szCs w:val="20"/>
    </w:rPr>
  </w:style>
  <w:style w:type="paragraph" w:styleId="Heading6">
    <w:name w:val="Heading 6"/>
    <w:basedOn w:val="Normal"/>
    <w:next w:val="TextBody"/>
    <w:link w:val="109"/>
    <w:uiPriority w:val="0"/>
    <w:qFormat/>
    <w:pPr>
      <w:widowControl/>
      <w:numPr>
        <w:ilvl w:val="5"/>
        <w:numId w:val="1"/>
      </w:numPr>
      <w:snapToGrid w:val="false"/>
      <w:spacing w:lineRule="auto" w:line="360" w:before="120" w:after="120"/>
      <w:outlineLvl w:val="5"/>
    </w:pPr>
    <w:rPr>
      <w:spacing w:val="-4"/>
      <w:kern w:val="0"/>
      <w:sz w:val="24"/>
      <w:szCs w:val="20"/>
    </w:rPr>
  </w:style>
  <w:style w:type="character" w:styleId="DefaultParagraphFont" w:default="1">
    <w:name w:val="Default Paragraph Font"/>
    <w:uiPriority w:val="1"/>
    <w:semiHidden/>
    <w:unhideWhenUsed/>
    <w:qFormat/>
    <w:rPr/>
  </w:style>
  <w:style w:type="character" w:styleId="VisitedInternetLink">
    <w:name w:val="FollowedHyperlink"/>
    <w:basedOn w:val="DefaultParagraphFont"/>
    <w:uiPriority w:val="99"/>
    <w:unhideWhenUsed/>
    <w:qFormat/>
    <w:rPr>
      <w:color w:val="800080"/>
      <w:u w:val="single"/>
    </w:rPr>
  </w:style>
  <w:style w:type="character" w:styleId="Emphasis">
    <w:name w:val="Emphasis"/>
    <w:basedOn w:val="DefaultParagraphFont"/>
    <w:uiPriority w:val="20"/>
    <w:qFormat/>
    <w:rPr>
      <w:color w:val="CC0000"/>
    </w:rPr>
  </w:style>
  <w:style w:type="character" w:styleId="InternetLink">
    <w:name w:val="Hyperlink"/>
    <w:basedOn w:val="DefaultParagraphFont"/>
    <w:uiPriority w:val="99"/>
    <w:rPr>
      <w:color w:val="0000FF"/>
      <w:u w:val="single"/>
    </w:rPr>
  </w:style>
  <w:style w:type="character" w:styleId="FootnoteCharacters">
    <w:name w:val="Footnote Characters"/>
    <w:basedOn w:val="DefaultParagraphFont"/>
    <w:uiPriority w:val="0"/>
    <w:qFormat/>
    <w:rPr>
      <w:vertAlign w:val="superscript"/>
    </w:rPr>
  </w:style>
  <w:style w:type="character" w:styleId="FootnoteAnchor">
    <w:name w:val="Footnote Anchor"/>
    <w:rPr>
      <w:vertAlign w:val="superscript"/>
    </w:rPr>
  </w:style>
  <w:style w:type="character" w:styleId="Char" w:customStyle="1">
    <w:name w:val="正文文本 Char"/>
    <w:basedOn w:val="DefaultParagraphFont"/>
    <w:link w:val="3"/>
    <w:uiPriority w:val="0"/>
    <w:qFormat/>
    <w:rPr>
      <w:sz w:val="24"/>
    </w:rPr>
  </w:style>
  <w:style w:type="character" w:styleId="1Char" w:customStyle="1">
    <w:name w:val="标题 1 Char"/>
    <w:basedOn w:val="DefaultParagraphFont"/>
    <w:link w:val="2"/>
    <w:uiPriority w:val="0"/>
    <w:qFormat/>
    <w:rPr>
      <w:rFonts w:ascii="Arial" w:hAnsi="Arial" w:eastAsia="楷体_GB2312"/>
      <w:b/>
      <w:kern w:val="2"/>
      <w:sz w:val="44"/>
      <w:vertAlign w:val="superscript"/>
    </w:rPr>
  </w:style>
  <w:style w:type="character" w:styleId="2Char" w:customStyle="1">
    <w:name w:val="标题 2 Char"/>
    <w:basedOn w:val="DefaultParagraphFont"/>
    <w:link w:val="4"/>
    <w:uiPriority w:val="0"/>
    <w:qFormat/>
    <w:rPr>
      <w:rFonts w:ascii="Arial" w:hAnsi="Arial" w:eastAsia="楷体_GB2312"/>
      <w:b/>
      <w:kern w:val="2"/>
      <w:sz w:val="32"/>
    </w:rPr>
  </w:style>
  <w:style w:type="character" w:styleId="3Char" w:customStyle="1">
    <w:name w:val="标题 3 Char"/>
    <w:basedOn w:val="DefaultParagraphFont"/>
    <w:link w:val="5"/>
    <w:uiPriority w:val="0"/>
    <w:qFormat/>
    <w:rPr>
      <w:rFonts w:ascii="Arial" w:hAnsi="Arial" w:eastAsia="楷体_GB2312"/>
      <w:spacing w:val="-4"/>
      <w:kern w:val="2"/>
      <w:sz w:val="32"/>
    </w:rPr>
  </w:style>
  <w:style w:type="character" w:styleId="4Char" w:customStyle="1">
    <w:name w:val="标题 4 Char"/>
    <w:basedOn w:val="DefaultParagraphFont"/>
    <w:link w:val="6"/>
    <w:uiPriority w:val="0"/>
    <w:qFormat/>
    <w:rPr>
      <w:rFonts w:ascii="Arial" w:hAnsi="Arial" w:eastAsia="黑体"/>
      <w:b/>
      <w:spacing w:val="-4"/>
      <w:kern w:val="2"/>
      <w:sz w:val="28"/>
    </w:rPr>
  </w:style>
  <w:style w:type="character" w:styleId="5Char" w:customStyle="1">
    <w:name w:val="标题 5 Char"/>
    <w:basedOn w:val="DefaultParagraphFont"/>
    <w:link w:val="7"/>
    <w:uiPriority w:val="0"/>
    <w:qFormat/>
    <w:rPr>
      <w:b/>
      <w:spacing w:val="-4"/>
      <w:kern w:val="2"/>
      <w:sz w:val="24"/>
    </w:rPr>
  </w:style>
  <w:style w:type="character" w:styleId="6Char" w:customStyle="1">
    <w:name w:val="标题 6 Char"/>
    <w:basedOn w:val="DefaultParagraphFont"/>
    <w:link w:val="8"/>
    <w:uiPriority w:val="0"/>
    <w:qFormat/>
    <w:rPr>
      <w:spacing w:val="-4"/>
      <w:sz w:val="24"/>
    </w:rPr>
  </w:style>
  <w:style w:type="character" w:styleId="Char1" w:customStyle="1">
    <w:name w:val="脚注文本 Char"/>
    <w:basedOn w:val="DefaultParagraphFont"/>
    <w:link w:val="16"/>
    <w:uiPriority w:val="0"/>
    <w:qFormat/>
    <w:rPr>
      <w:kern w:val="2"/>
      <w:sz w:val="18"/>
      <w:szCs w:val="18"/>
    </w:rPr>
  </w:style>
  <w:style w:type="character" w:styleId="CharChar" w:customStyle="1">
    <w:name w:val="表头 Char Char"/>
    <w:basedOn w:val="DefaultParagraphFont"/>
    <w:link w:val="26"/>
    <w:uiPriority w:val="0"/>
    <w:qFormat/>
    <w:rPr>
      <w:rFonts w:ascii="Arial" w:hAnsi="Arial" w:eastAsia="黑体"/>
      <w:kern w:val="2"/>
      <w:sz w:val="28"/>
      <w:szCs w:val="28"/>
    </w:rPr>
  </w:style>
  <w:style w:type="character" w:styleId="2CharChar" w:customStyle="1">
    <w:name w:val="表文2 Char Char"/>
    <w:basedOn w:val="DefaultParagraphFont"/>
    <w:link w:val="27"/>
    <w:uiPriority w:val="0"/>
    <w:qFormat/>
    <w:rPr>
      <w:rFonts w:eastAsia="方正书宋_GBK"/>
      <w:kern w:val="2"/>
      <w:sz w:val="21"/>
      <w:szCs w:val="21"/>
    </w:rPr>
  </w:style>
  <w:style w:type="character" w:styleId="Char2" w:customStyle="1">
    <w:name w:val="正文文本缩进 Char"/>
    <w:basedOn w:val="DefaultParagraphFont"/>
    <w:link w:val="10"/>
    <w:uiPriority w:val="0"/>
    <w:qFormat/>
    <w:rPr>
      <w:kern w:val="2"/>
      <w:sz w:val="21"/>
      <w:szCs w:val="24"/>
    </w:rPr>
  </w:style>
  <w:style w:type="character" w:styleId="Char3" w:customStyle="1">
    <w:name w:val="标题 Char"/>
    <w:basedOn w:val="DefaultParagraphFont"/>
    <w:link w:val="18"/>
    <w:uiPriority w:val="0"/>
    <w:qFormat/>
    <w:rPr>
      <w:rFonts w:ascii="Cambria" w:hAnsi="Cambria" w:cs="Times New Roman"/>
      <w:b/>
      <w:bCs/>
      <w:kern w:val="2"/>
      <w:sz w:val="28"/>
      <w:szCs w:val="32"/>
    </w:rPr>
  </w:style>
  <w:style w:type="character" w:styleId="Char4" w:customStyle="1">
    <w:name w:val="副标题 Char"/>
    <w:basedOn w:val="DefaultParagraphFont"/>
    <w:link w:val="15"/>
    <w:uiPriority w:val="0"/>
    <w:qFormat/>
    <w:rPr>
      <w:rFonts w:ascii="Cambria" w:hAnsi="Cambria" w:cs="Times New Roman"/>
      <w:b/>
      <w:bCs/>
      <w:kern w:val="2"/>
      <w:sz w:val="24"/>
      <w:szCs w:val="32"/>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link w:val="103"/>
    <w:uiPriority w:val="0"/>
    <w:qFormat/>
    <w:pPr>
      <w:widowControl/>
      <w:snapToGrid w:val="false"/>
      <w:spacing w:lineRule="auto" w:line="360" w:before="120" w:after="120"/>
      <w:ind w:firstLine="454"/>
    </w:pPr>
    <w:rPr>
      <w:kern w:val="0"/>
      <w:sz w:val="24"/>
      <w:szCs w:val="20"/>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NormalIndent">
    <w:name w:val="Normal Indent"/>
    <w:basedOn w:val="Normal"/>
    <w:uiPriority w:val="0"/>
    <w:qFormat/>
    <w:pPr>
      <w:ind w:firstLine="420"/>
    </w:pPr>
    <w:rPr/>
  </w:style>
  <w:style w:type="paragraph" w:styleId="TextBodyIndent">
    <w:name w:val="Body Text Indent"/>
    <w:basedOn w:val="Normal"/>
    <w:link w:val="113"/>
    <w:uiPriority w:val="0"/>
    <w:pPr>
      <w:spacing w:before="0" w:after="120"/>
      <w:ind w:start="420" w:hanging="0"/>
    </w:pPr>
    <w:rPr/>
  </w:style>
  <w:style w:type="paragraph" w:styleId="BalloonText">
    <w:name w:val="Balloon Text"/>
    <w:basedOn w:val="Normal"/>
    <w:uiPriority w:val="0"/>
    <w:semiHidden/>
    <w:qFormat/>
    <w:pPr/>
    <w:rPr>
      <w:sz w:val="18"/>
      <w:szCs w:val="18"/>
    </w:rPr>
  </w:style>
  <w:style w:type="paragraph" w:styleId="HeaderandFooter">
    <w:name w:val="Header and Footer"/>
    <w:basedOn w:val="Normal"/>
    <w:qFormat/>
    <w:pPr/>
    <w:rPr/>
  </w:style>
  <w:style w:type="paragraph" w:styleId="Footer">
    <w:name w:val="Footer"/>
    <w:basedOn w:val="Normal"/>
    <w:uiPriority w:val="0"/>
    <w:qFormat/>
    <w:pPr>
      <w:tabs>
        <w:tab w:val="clear" w:pos="420"/>
        <w:tab w:val="center" w:pos="4153" w:leader="none"/>
        <w:tab w:val="right" w:pos="8306" w:leader="none"/>
      </w:tabs>
      <w:snapToGrid w:val="false"/>
      <w:jc w:val="start"/>
    </w:pPr>
    <w:rPr>
      <w:sz w:val="18"/>
      <w:szCs w:val="18"/>
    </w:rPr>
  </w:style>
  <w:style w:type="paragraph" w:styleId="Header">
    <w:name w:val="Header"/>
    <w:basedOn w:val="Normal"/>
    <w:uiPriority w:val="0"/>
    <w:qFormat/>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Contents1">
    <w:name w:val="TOC 1"/>
    <w:basedOn w:val="Normal"/>
    <w:next w:val="Normal"/>
    <w:uiPriority w:val="39"/>
    <w:qFormat/>
    <w:pPr/>
    <w:rPr/>
  </w:style>
  <w:style w:type="paragraph" w:styleId="Subtitle">
    <w:name w:val="Subtitle"/>
    <w:basedOn w:val="Normal"/>
    <w:next w:val="Normal"/>
    <w:link w:val="115"/>
    <w:uiPriority w:val="0"/>
    <w:qFormat/>
    <w:pPr>
      <w:spacing w:lineRule="auto" w:line="312" w:before="240" w:after="60"/>
      <w:jc w:val="start"/>
      <w:outlineLvl w:val="1"/>
    </w:pPr>
    <w:rPr>
      <w:rFonts w:ascii="Cambria" w:hAnsi="Cambria"/>
      <w:b/>
      <w:bCs/>
      <w:kern w:val="2"/>
      <w:sz w:val="24"/>
      <w:szCs w:val="32"/>
    </w:rPr>
  </w:style>
  <w:style w:type="paragraph" w:styleId="Footnote">
    <w:name w:val="Footnote Text"/>
    <w:basedOn w:val="Normal"/>
    <w:link w:val="110"/>
    <w:uiPriority w:val="0"/>
    <w:qFormat/>
    <w:pPr>
      <w:snapToGrid w:val="false"/>
      <w:jc w:val="start"/>
    </w:pPr>
    <w:rPr>
      <w:sz w:val="18"/>
      <w:szCs w:val="18"/>
    </w:rPr>
  </w:style>
  <w:style w:type="paragraph" w:styleId="Contents2">
    <w:name w:val="TOC 2"/>
    <w:basedOn w:val="Normal"/>
    <w:next w:val="Normal"/>
    <w:uiPriority w:val="39"/>
    <w:qFormat/>
    <w:pPr>
      <w:ind w:start="420" w:hanging="0"/>
    </w:pPr>
    <w:rPr/>
  </w:style>
  <w:style w:type="paragraph" w:styleId="Title">
    <w:name w:val="Title"/>
    <w:basedOn w:val="Normal"/>
    <w:next w:val="Normal"/>
    <w:link w:val="114"/>
    <w:uiPriority w:val="0"/>
    <w:qFormat/>
    <w:pPr>
      <w:spacing w:before="240" w:after="60"/>
      <w:jc w:val="center"/>
      <w:outlineLvl w:val="0"/>
    </w:pPr>
    <w:rPr>
      <w:rFonts w:ascii="Cambria" w:hAnsi="Cambria"/>
      <w:b/>
      <w:bCs/>
      <w:sz w:val="28"/>
      <w:szCs w:val="32"/>
    </w:rPr>
  </w:style>
  <w:style w:type="paragraph" w:styleId="ParaCharCharCharCharCharCharChar" w:customStyle="1">
    <w:name w:val="默认段落字体 Para Char Char Char Char Char Char Char"/>
    <w:basedOn w:val="Normal"/>
    <w:uiPriority w:val="0"/>
    <w:qFormat/>
    <w:pPr>
      <w:tabs>
        <w:tab w:val="clear" w:pos="420"/>
        <w:tab w:val="left" w:pos="4665" w:leader="none"/>
        <w:tab w:val="left" w:pos="8970" w:leader="none"/>
      </w:tabs>
      <w:ind w:firstLine="400"/>
    </w:pPr>
    <w:rPr>
      <w:rFonts w:ascii="Tahoma" w:hAnsi="Tahoma"/>
      <w:sz w:val="24"/>
      <w:szCs w:val="20"/>
    </w:rPr>
  </w:style>
  <w:style w:type="paragraph" w:styleId="Style8" w:customStyle="1">
    <w:name w:val="表头"/>
    <w:basedOn w:val="Normal"/>
    <w:link w:val="111"/>
    <w:uiPriority w:val="0"/>
    <w:qFormat/>
    <w:pPr>
      <w:pageBreakBefore/>
      <w:spacing w:lineRule="atLeast" w:line="360" w:before="240" w:after="120"/>
      <w:jc w:val="center"/>
    </w:pPr>
    <w:rPr>
      <w:rFonts w:ascii="Arial" w:hAnsi="Arial" w:eastAsia="黑体"/>
      <w:sz w:val="28"/>
      <w:szCs w:val="28"/>
    </w:rPr>
  </w:style>
  <w:style w:type="paragraph" w:styleId="2" w:customStyle="1">
    <w:name w:val="表文2"/>
    <w:basedOn w:val="Normal"/>
    <w:link w:val="112"/>
    <w:uiPriority w:val="0"/>
    <w:qFormat/>
    <w:pPr>
      <w:spacing w:lineRule="atLeast" w:line="360"/>
      <w:ind w:start="100" w:end="100" w:hanging="0"/>
    </w:pPr>
    <w:rPr>
      <w:rFonts w:eastAsia="方正书宋_GBK"/>
      <w:szCs w:val="21"/>
    </w:rPr>
  </w:style>
  <w:style w:type="paragraph" w:styleId="Style9" w:customStyle="1">
    <w:name w:val="表文"/>
    <w:basedOn w:val="NormalIndent"/>
    <w:uiPriority w:val="0"/>
    <w:qFormat/>
    <w:pPr>
      <w:snapToGrid w:val="false"/>
      <w:spacing w:lineRule="atLeast" w:line="280"/>
      <w:ind w:hanging="0"/>
    </w:pPr>
    <w:rPr>
      <w:szCs w:val="20"/>
    </w:rPr>
  </w:style>
  <w:style w:type="paragraph" w:styleId="TOC1" w:customStyle="1">
    <w:name w:val="TOC 标题1"/>
    <w:basedOn w:val="Heading1"/>
    <w:next w:val="Normal"/>
    <w:uiPriority w:val="39"/>
    <w:semiHidden/>
    <w:unhideWhenUsed/>
    <w:qFormat/>
    <w:pPr>
      <w:keepNext w:val="true"/>
      <w:keepLines/>
      <w:numPr>
        <w:ilvl w:val="0"/>
        <w:numId w:val="0"/>
      </w:numPr>
      <w:snapToGrid w:val="true"/>
      <w:spacing w:lineRule="auto" w:line="276" w:before="480" w:after="0"/>
      <w:jc w:val="start"/>
    </w:pPr>
    <w:rPr>
      <w:rFonts w:ascii="Cambria" w:hAnsi="Cambria" w:eastAsia="宋体"/>
      <w:bCs/>
      <w:color w:val="365F91"/>
      <w:kern w:val="0"/>
      <w:sz w:val="28"/>
      <w:szCs w:val="28"/>
    </w:rPr>
  </w:style>
  <w:style w:type="paragraph" w:styleId="1" w:customStyle="1">
    <w:name w:val="列出段落1"/>
    <w:basedOn w:val="Normal"/>
    <w:uiPriority w:val="34"/>
    <w:qFormat/>
    <w:pPr>
      <w:ind w:firstLine="420"/>
    </w:pPr>
    <w:rPr/>
  </w:style>
  <w:style w:type="paragraph" w:styleId="Font1" w:customStyle="1">
    <w:name w:val="font1"/>
    <w:basedOn w:val="Normal"/>
    <w:uiPriority w:val="0"/>
    <w:qFormat/>
    <w:pPr>
      <w:widowControl/>
      <w:spacing w:beforeAutospacing="1" w:afterAutospacing="1"/>
      <w:jc w:val="start"/>
    </w:pPr>
    <w:rPr>
      <w:rFonts w:ascii="宋体" w:hAnsi="宋体" w:cs="宋体"/>
      <w:color w:val="000000"/>
      <w:kern w:val="0"/>
      <w:sz w:val="22"/>
      <w:szCs w:val="22"/>
    </w:rPr>
  </w:style>
  <w:style w:type="paragraph" w:styleId="Font5" w:customStyle="1">
    <w:name w:val="font5"/>
    <w:basedOn w:val="Normal"/>
    <w:uiPriority w:val="0"/>
    <w:qFormat/>
    <w:pPr>
      <w:widowControl/>
      <w:spacing w:beforeAutospacing="1" w:afterAutospacing="1"/>
      <w:jc w:val="start"/>
    </w:pPr>
    <w:rPr>
      <w:rFonts w:ascii="宋体" w:hAnsi="宋体" w:cs="宋体"/>
      <w:kern w:val="0"/>
      <w:sz w:val="18"/>
      <w:szCs w:val="18"/>
    </w:rPr>
  </w:style>
  <w:style w:type="paragraph" w:styleId="Font6" w:customStyle="1">
    <w:name w:val="font6"/>
    <w:basedOn w:val="Normal"/>
    <w:uiPriority w:val="0"/>
    <w:qFormat/>
    <w:pPr>
      <w:widowControl/>
      <w:spacing w:beforeAutospacing="1" w:afterAutospacing="1"/>
      <w:jc w:val="start"/>
    </w:pPr>
    <w:rPr>
      <w:rFonts w:ascii="宋体" w:hAnsi="宋体" w:cs="宋体"/>
      <w:color w:val="000000"/>
      <w:kern w:val="0"/>
      <w:sz w:val="22"/>
      <w:szCs w:val="22"/>
    </w:rPr>
  </w:style>
  <w:style w:type="paragraph" w:styleId="Font7" w:customStyle="1">
    <w:name w:val="font7"/>
    <w:basedOn w:val="Normal"/>
    <w:uiPriority w:val="0"/>
    <w:qFormat/>
    <w:pPr>
      <w:widowControl/>
      <w:spacing w:beforeAutospacing="1" w:afterAutospacing="1"/>
      <w:jc w:val="start"/>
    </w:pPr>
    <w:rPr>
      <w:rFonts w:ascii="宋体" w:hAnsi="宋体" w:cs="宋体"/>
      <w:kern w:val="0"/>
      <w:sz w:val="20"/>
      <w:szCs w:val="20"/>
    </w:rPr>
  </w:style>
  <w:style w:type="paragraph" w:styleId="Font8" w:customStyle="1">
    <w:name w:val="font8"/>
    <w:basedOn w:val="Normal"/>
    <w:uiPriority w:val="0"/>
    <w:qFormat/>
    <w:pPr>
      <w:widowControl/>
      <w:spacing w:beforeAutospacing="1" w:afterAutospacing="1"/>
      <w:jc w:val="start"/>
    </w:pPr>
    <w:rPr>
      <w:rFonts w:ascii="宋体" w:hAnsi="宋体" w:cs="宋体"/>
      <w:kern w:val="0"/>
      <w:sz w:val="18"/>
      <w:szCs w:val="18"/>
    </w:rPr>
  </w:style>
  <w:style w:type="paragraph" w:styleId="Font9" w:customStyle="1">
    <w:name w:val="font9"/>
    <w:basedOn w:val="Normal"/>
    <w:uiPriority w:val="0"/>
    <w:qFormat/>
    <w:pPr>
      <w:widowControl/>
      <w:spacing w:beforeAutospacing="1" w:afterAutospacing="1"/>
      <w:jc w:val="start"/>
    </w:pPr>
    <w:rPr>
      <w:rFonts w:ascii="Arial" w:hAnsi="Arial" w:cs="Arial"/>
      <w:kern w:val="0"/>
      <w:sz w:val="20"/>
      <w:szCs w:val="20"/>
    </w:rPr>
  </w:style>
  <w:style w:type="paragraph" w:styleId="Font10" w:customStyle="1">
    <w:name w:val="font10"/>
    <w:basedOn w:val="Normal"/>
    <w:uiPriority w:val="0"/>
    <w:qFormat/>
    <w:pPr>
      <w:widowControl/>
      <w:spacing w:beforeAutospacing="1" w:afterAutospacing="1"/>
      <w:jc w:val="start"/>
    </w:pPr>
    <w:rPr>
      <w:rFonts w:ascii="宋体" w:hAnsi="宋体" w:cs="宋体"/>
      <w:kern w:val="0"/>
      <w:sz w:val="22"/>
      <w:szCs w:val="22"/>
    </w:rPr>
  </w:style>
  <w:style w:type="paragraph" w:styleId="Font11" w:customStyle="1">
    <w:name w:val="font11"/>
    <w:basedOn w:val="Normal"/>
    <w:uiPriority w:val="0"/>
    <w:qFormat/>
    <w:pPr>
      <w:widowControl/>
      <w:spacing w:beforeAutospacing="1" w:afterAutospacing="1"/>
      <w:jc w:val="start"/>
    </w:pPr>
    <w:rPr>
      <w:kern w:val="0"/>
      <w:sz w:val="22"/>
      <w:szCs w:val="22"/>
    </w:rPr>
  </w:style>
  <w:style w:type="paragraph" w:styleId="Font12" w:customStyle="1">
    <w:name w:val="font12"/>
    <w:basedOn w:val="Normal"/>
    <w:uiPriority w:val="0"/>
    <w:qFormat/>
    <w:pPr>
      <w:widowControl/>
      <w:spacing w:beforeAutospacing="1" w:afterAutospacing="1"/>
      <w:jc w:val="start"/>
    </w:pPr>
    <w:rPr>
      <w:rFonts w:ascii="宋体" w:hAnsi="宋体" w:cs="宋体"/>
      <w:color w:val="000000"/>
      <w:kern w:val="0"/>
      <w:sz w:val="22"/>
      <w:szCs w:val="22"/>
      <w:u w:val="single"/>
    </w:rPr>
  </w:style>
  <w:style w:type="paragraph" w:styleId="Font13" w:customStyle="1">
    <w:name w:val="font13"/>
    <w:basedOn w:val="Normal"/>
    <w:uiPriority w:val="0"/>
    <w:qFormat/>
    <w:pPr>
      <w:widowControl/>
      <w:spacing w:beforeAutospacing="1" w:afterAutospacing="1"/>
      <w:jc w:val="start"/>
    </w:pPr>
    <w:rPr>
      <w:rFonts w:ascii="宋体" w:hAnsi="宋体" w:cs="宋体"/>
      <w:kern w:val="0"/>
      <w:sz w:val="18"/>
      <w:szCs w:val="18"/>
    </w:rPr>
  </w:style>
  <w:style w:type="paragraph" w:styleId="Xl63" w:customStyle="1">
    <w:name w:val="xl63"/>
    <w:basedOn w:val="Normal"/>
    <w:uiPriority w:val="0"/>
    <w:qFormat/>
    <w:pPr>
      <w:widowControl/>
      <w:spacing w:beforeAutospacing="1" w:afterAutospacing="1"/>
      <w:jc w:val="start"/>
    </w:pPr>
    <w:rPr>
      <w:rFonts w:ascii="宋体" w:hAnsi="宋体" w:cs="宋体"/>
      <w:kern w:val="0"/>
      <w:sz w:val="24"/>
    </w:rPr>
  </w:style>
  <w:style w:type="paragraph" w:styleId="Xl64" w:customStyle="1">
    <w:name w:val="xl64"/>
    <w:basedOn w:val="Normal"/>
    <w:uiPriority w:val="0"/>
    <w:qFormat/>
    <w:pPr>
      <w:widowControl/>
      <w:shd w:val="clear" w:color="000000" w:fill="FFFFFF"/>
      <w:spacing w:beforeAutospacing="1" w:afterAutospacing="1"/>
      <w:jc w:val="start"/>
    </w:pPr>
    <w:rPr>
      <w:rFonts w:ascii="宋体" w:hAnsi="宋体" w:cs="宋体"/>
      <w:kern w:val="0"/>
      <w:sz w:val="24"/>
    </w:rPr>
  </w:style>
  <w:style w:type="paragraph" w:styleId="Xl65" w:customStyle="1">
    <w:name w:val="xl65"/>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pPr>
    <w:rPr>
      <w:rFonts w:ascii="宋体" w:hAnsi="宋体" w:cs="宋体"/>
      <w:kern w:val="0"/>
      <w:sz w:val="24"/>
    </w:rPr>
  </w:style>
  <w:style w:type="paragraph" w:styleId="Xl66" w:customStyle="1">
    <w:name w:val="xl66"/>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pPr>
    <w:rPr>
      <w:rFonts w:ascii="宋体" w:hAnsi="宋体" w:cs="宋体"/>
      <w:kern w:val="0"/>
      <w:sz w:val="24"/>
    </w:rPr>
  </w:style>
  <w:style w:type="paragraph" w:styleId="Xl67" w:customStyle="1">
    <w:name w:val="xl67"/>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start"/>
    </w:pPr>
    <w:rPr>
      <w:rFonts w:ascii="宋体" w:hAnsi="宋体" w:cs="宋体"/>
      <w:kern w:val="0"/>
      <w:sz w:val="24"/>
    </w:rPr>
  </w:style>
  <w:style w:type="paragraph" w:styleId="Xl68" w:customStyle="1">
    <w:name w:val="xl68"/>
    <w:basedOn w:val="Normal"/>
    <w:uiPriority w:val="0"/>
    <w:qFormat/>
    <w:pPr>
      <w:widowControl/>
      <w:pBdr>
        <w:top w:val="single" w:sz="8" w:space="0" w:color="000000"/>
        <w:left w:val="single" w:sz="4" w:space="0" w:color="000000"/>
        <w:bottom w:val="single" w:sz="4" w:space="0" w:color="000000"/>
        <w:right w:val="single" w:sz="4" w:space="0" w:color="000000"/>
      </w:pBdr>
      <w:shd w:val="clear" w:color="000000" w:fill="DBE5F1"/>
      <w:spacing w:beforeAutospacing="1" w:afterAutospacing="1"/>
      <w:jc w:val="center"/>
    </w:pPr>
    <w:rPr>
      <w:rFonts w:ascii="宋体" w:hAnsi="宋体" w:cs="宋体"/>
      <w:b/>
      <w:bCs/>
      <w:kern w:val="0"/>
      <w:sz w:val="24"/>
    </w:rPr>
  </w:style>
  <w:style w:type="paragraph" w:styleId="Xl69" w:customStyle="1">
    <w:name w:val="xl69"/>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jc w:val="start"/>
    </w:pPr>
    <w:rPr>
      <w:rFonts w:ascii="宋体" w:hAnsi="宋体" w:cs="宋体"/>
      <w:kern w:val="0"/>
      <w:sz w:val="24"/>
    </w:rPr>
  </w:style>
  <w:style w:type="paragraph" w:styleId="Xl70" w:customStyle="1">
    <w:name w:val="xl70"/>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0"/>
      <w:szCs w:val="20"/>
    </w:rPr>
  </w:style>
  <w:style w:type="paragraph" w:styleId="Xl71" w:customStyle="1">
    <w:name w:val="xl71"/>
    <w:basedOn w:val="Normal"/>
    <w:uiPriority w:val="0"/>
    <w:qFormat/>
    <w:pPr>
      <w:widowControl/>
      <w:pBdr>
        <w:top w:val="single" w:sz="8" w:space="0" w:color="000000"/>
        <w:bottom w:val="single" w:sz="4" w:space="0" w:color="000000"/>
        <w:right w:val="single" w:sz="4" w:space="0" w:color="000000"/>
      </w:pBdr>
      <w:shd w:val="clear" w:color="000000" w:fill="DBE5F1"/>
      <w:spacing w:beforeAutospacing="1" w:afterAutospacing="1"/>
      <w:jc w:val="center"/>
    </w:pPr>
    <w:rPr>
      <w:rFonts w:ascii="宋体" w:hAnsi="宋体" w:cs="宋体"/>
      <w:b/>
      <w:bCs/>
      <w:kern w:val="0"/>
      <w:sz w:val="24"/>
    </w:rPr>
  </w:style>
  <w:style w:type="paragraph" w:styleId="Xl72" w:customStyle="1">
    <w:name w:val="xl72"/>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0"/>
      <w:szCs w:val="20"/>
    </w:rPr>
  </w:style>
  <w:style w:type="paragraph" w:styleId="Xl73" w:customStyle="1">
    <w:name w:val="xl73"/>
    <w:basedOn w:val="Normal"/>
    <w:uiPriority w:val="0"/>
    <w:qFormat/>
    <w:pPr>
      <w:widowControl/>
      <w:pBdr>
        <w:top w:val="single" w:sz="8" w:space="0" w:color="000000"/>
        <w:left w:val="single" w:sz="8" w:space="0" w:color="000000"/>
        <w:bottom w:val="single" w:sz="4" w:space="0" w:color="000000"/>
        <w:right w:val="single" w:sz="4" w:space="0" w:color="000000"/>
      </w:pBdr>
      <w:shd w:val="clear" w:color="000000" w:fill="DBE5F1"/>
      <w:spacing w:beforeAutospacing="1" w:afterAutospacing="1"/>
      <w:jc w:val="center"/>
    </w:pPr>
    <w:rPr>
      <w:rFonts w:ascii="宋体" w:hAnsi="宋体" w:cs="宋体"/>
      <w:b/>
      <w:bCs/>
      <w:kern w:val="0"/>
      <w:sz w:val="24"/>
    </w:rPr>
  </w:style>
  <w:style w:type="paragraph" w:styleId="Xl74" w:customStyle="1">
    <w:name w:val="xl74"/>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color w:val="000000"/>
      <w:kern w:val="0"/>
      <w:sz w:val="24"/>
    </w:rPr>
  </w:style>
  <w:style w:type="paragraph" w:styleId="Xl75" w:customStyle="1">
    <w:name w:val="xl75"/>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4"/>
    </w:rPr>
  </w:style>
  <w:style w:type="paragraph" w:styleId="Xl76" w:customStyle="1">
    <w:name w:val="xl76"/>
    <w:basedOn w:val="Normal"/>
    <w:uiPriority w:val="0"/>
    <w:qFormat/>
    <w:pPr>
      <w:widowControl/>
      <w:shd w:val="clear" w:color="000000" w:fill="FFFFFF"/>
      <w:spacing w:beforeAutospacing="1" w:afterAutospacing="1"/>
      <w:jc w:val="start"/>
    </w:pPr>
    <w:rPr>
      <w:rFonts w:ascii="宋体" w:hAnsi="宋体" w:cs="宋体"/>
      <w:kern w:val="0"/>
      <w:sz w:val="24"/>
    </w:rPr>
  </w:style>
  <w:style w:type="paragraph" w:styleId="Xl77" w:customStyle="1">
    <w:name w:val="xl77"/>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4"/>
    </w:rPr>
  </w:style>
  <w:style w:type="paragraph" w:styleId="Xl78" w:customStyle="1">
    <w:name w:val="xl78"/>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宋体" w:hAnsi="宋体" w:cs="宋体"/>
      <w:kern w:val="0"/>
      <w:sz w:val="24"/>
    </w:rPr>
  </w:style>
  <w:style w:type="paragraph" w:styleId="Xl79" w:customStyle="1">
    <w:name w:val="xl79"/>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start"/>
    </w:pPr>
    <w:rPr>
      <w:rFonts w:ascii="宋体" w:hAnsi="宋体" w:cs="宋体"/>
      <w:kern w:val="0"/>
      <w:sz w:val="20"/>
      <w:szCs w:val="20"/>
    </w:rPr>
  </w:style>
  <w:style w:type="paragraph" w:styleId="Xl80" w:customStyle="1">
    <w:name w:val="xl80"/>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pPr>
    <w:rPr>
      <w:rFonts w:ascii="宋体" w:hAnsi="宋体" w:cs="宋体"/>
      <w:kern w:val="0"/>
      <w:sz w:val="20"/>
      <w:szCs w:val="20"/>
    </w:rPr>
  </w:style>
  <w:style w:type="paragraph" w:styleId="Xl81" w:customStyle="1">
    <w:name w:val="xl81"/>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pPr>
    <w:rPr>
      <w:rFonts w:ascii="宋体" w:hAnsi="宋体" w:cs="宋体"/>
      <w:kern w:val="0"/>
      <w:sz w:val="20"/>
      <w:szCs w:val="20"/>
    </w:rPr>
  </w:style>
  <w:style w:type="paragraph" w:styleId="Xl82" w:customStyle="1">
    <w:name w:val="xl82"/>
    <w:basedOn w:val="Normal"/>
    <w:uiPriority w:val="0"/>
    <w:qFormat/>
    <w:pPr>
      <w:widowControl/>
      <w:spacing w:beforeAutospacing="1" w:afterAutospacing="1"/>
      <w:jc w:val="start"/>
    </w:pPr>
    <w:rPr>
      <w:rFonts w:ascii="宋体" w:hAnsi="宋体" w:cs="宋体"/>
      <w:kern w:val="0"/>
      <w:sz w:val="20"/>
      <w:szCs w:val="20"/>
    </w:rPr>
  </w:style>
  <w:style w:type="paragraph" w:styleId="Xl83" w:customStyle="1">
    <w:name w:val="xl83"/>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0"/>
      <w:szCs w:val="20"/>
    </w:rPr>
  </w:style>
  <w:style w:type="paragraph" w:styleId="Xl84" w:customStyle="1">
    <w:name w:val="xl84"/>
    <w:basedOn w:val="Normal"/>
    <w:uiPriority w:val="0"/>
    <w:qFormat/>
    <w:pPr>
      <w:widowControl/>
      <w:pBdr>
        <w:bottom w:val="single" w:sz="4" w:space="0" w:color="000000"/>
        <w:right w:val="single" w:sz="4" w:space="0" w:color="000000"/>
      </w:pBdr>
      <w:shd w:val="clear" w:color="000000" w:fill="FFFFFF"/>
      <w:spacing w:beforeAutospacing="1" w:afterAutospacing="1"/>
      <w:jc w:val="start"/>
    </w:pPr>
    <w:rPr>
      <w:rFonts w:ascii="宋体" w:hAnsi="宋体" w:cs="宋体"/>
      <w:kern w:val="0"/>
      <w:sz w:val="24"/>
    </w:rPr>
  </w:style>
  <w:style w:type="paragraph" w:styleId="Xl85" w:customStyle="1">
    <w:name w:val="xl85"/>
    <w:basedOn w:val="Normal"/>
    <w:uiPriority w:val="0"/>
    <w:qFormat/>
    <w:pPr>
      <w:widowControl/>
      <w:pBdr>
        <w:left w:val="single" w:sz="4" w:space="0" w:color="000000"/>
        <w:bottom w:val="single" w:sz="4" w:space="0" w:color="000000"/>
        <w:right w:val="single" w:sz="4" w:space="0" w:color="000000"/>
      </w:pBdr>
      <w:shd w:val="clear" w:color="000000" w:fill="FFFFFF"/>
      <w:spacing w:beforeAutospacing="1" w:afterAutospacing="1"/>
      <w:jc w:val="start"/>
    </w:pPr>
    <w:rPr>
      <w:rFonts w:ascii="宋体" w:hAnsi="宋体" w:cs="宋体"/>
      <w:kern w:val="0"/>
      <w:sz w:val="24"/>
    </w:rPr>
  </w:style>
  <w:style w:type="paragraph" w:styleId="Xl86" w:customStyle="1">
    <w:name w:val="xl86"/>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pPr>
    <w:rPr>
      <w:rFonts w:ascii="宋体" w:hAnsi="宋体" w:cs="宋体"/>
      <w:kern w:val="0"/>
      <w:sz w:val="24"/>
    </w:rPr>
  </w:style>
  <w:style w:type="paragraph" w:styleId="Xl87" w:customStyle="1">
    <w:name w:val="xl87"/>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rFonts w:ascii="宋体" w:hAnsi="宋体" w:cs="宋体"/>
      <w:kern w:val="0"/>
      <w:sz w:val="24"/>
    </w:rPr>
  </w:style>
  <w:style w:type="paragraph" w:styleId="Xl88" w:customStyle="1">
    <w:name w:val="xl88"/>
    <w:basedOn w:val="Normal"/>
    <w:uiPriority w:val="0"/>
    <w:qFormat/>
    <w:pPr>
      <w:widowControl/>
      <w:pBdr>
        <w:left w:val="single" w:sz="4" w:space="0" w:color="000000"/>
        <w:bottom w:val="single" w:sz="4" w:space="0" w:color="000000"/>
        <w:right w:val="single" w:sz="4" w:space="0" w:color="000000"/>
      </w:pBdr>
      <w:shd w:val="clear" w:color="000000" w:fill="FFFFFF"/>
      <w:spacing w:beforeAutospacing="1" w:afterAutospacing="1"/>
      <w:jc w:val="start"/>
    </w:pPr>
    <w:rPr>
      <w:rFonts w:ascii="宋体" w:hAnsi="宋体" w:cs="宋体"/>
      <w:kern w:val="0"/>
      <w:sz w:val="20"/>
      <w:szCs w:val="20"/>
    </w:rPr>
  </w:style>
  <w:style w:type="paragraph" w:styleId="Xl89" w:customStyle="1">
    <w:name w:val="xl89"/>
    <w:basedOn w:val="Normal"/>
    <w:uiPriority w:val="0"/>
    <w:qFormat/>
    <w:pPr>
      <w:widowControl/>
      <w:pBdr>
        <w:top w:val="single" w:sz="8" w:space="0" w:color="000000"/>
        <w:left w:val="single" w:sz="4" w:space="0" w:color="000000"/>
        <w:bottom w:val="single" w:sz="4" w:space="0" w:color="000000"/>
      </w:pBdr>
      <w:shd w:val="clear" w:color="000000" w:fill="DBE5F1"/>
      <w:spacing w:beforeAutospacing="1" w:afterAutospacing="1"/>
      <w:jc w:val="center"/>
    </w:pPr>
    <w:rPr>
      <w:rFonts w:ascii="宋体" w:hAnsi="宋体" w:cs="宋体"/>
      <w:b/>
      <w:bCs/>
      <w:kern w:val="0"/>
      <w:sz w:val="24"/>
    </w:rPr>
  </w:style>
  <w:style w:type="paragraph" w:styleId="Xl90" w:customStyle="1">
    <w:name w:val="xl90"/>
    <w:basedOn w:val="Normal"/>
    <w:uiPriority w:val="0"/>
    <w:qFormat/>
    <w:pPr>
      <w:widowControl/>
      <w:pBdr>
        <w:top w:val="single" w:sz="8" w:space="0" w:color="000000"/>
        <w:left w:val="single" w:sz="4" w:space="0" w:color="000000"/>
        <w:bottom w:val="single" w:sz="4" w:space="0" w:color="000000"/>
        <w:right w:val="single" w:sz="8" w:space="0" w:color="000000"/>
      </w:pBdr>
      <w:shd w:val="clear" w:color="000000" w:fill="DBE5F1"/>
      <w:spacing w:beforeAutospacing="1" w:afterAutospacing="1"/>
      <w:jc w:val="center"/>
    </w:pPr>
    <w:rPr>
      <w:rFonts w:ascii="宋体" w:hAnsi="宋体" w:cs="宋体"/>
      <w:b/>
      <w:bCs/>
      <w:kern w:val="0"/>
      <w:sz w:val="24"/>
    </w:rPr>
  </w:style>
  <w:style w:type="paragraph" w:styleId="Xl91" w:customStyle="1">
    <w:name w:val="xl91"/>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92" w:customStyle="1">
    <w:name w:val="xl92"/>
    <w:basedOn w:val="Normal"/>
    <w:uiPriority w:val="0"/>
    <w:qFormat/>
    <w:pPr>
      <w:widowControl/>
      <w:pBdr>
        <w:top w:val="single" w:sz="4" w:space="0" w:color="000000"/>
        <w:left w:val="single" w:sz="4" w:space="0" w:color="000000"/>
        <w:bottom w:val="single" w:sz="4" w:space="0" w:color="000000"/>
        <w:right w:val="single" w:sz="8" w:space="0" w:color="000000"/>
      </w:pBdr>
      <w:shd w:val="clear" w:color="000000" w:fill="FFFFFF"/>
      <w:spacing w:beforeAutospacing="1" w:afterAutospacing="1"/>
      <w:jc w:val="center"/>
    </w:pPr>
    <w:rPr>
      <w:rFonts w:ascii="宋体" w:hAnsi="宋体" w:cs="宋体"/>
      <w:kern w:val="0"/>
      <w:sz w:val="20"/>
      <w:szCs w:val="20"/>
    </w:rPr>
  </w:style>
  <w:style w:type="paragraph" w:styleId="Xl93" w:customStyle="1">
    <w:name w:val="xl93"/>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94" w:customStyle="1">
    <w:name w:val="xl94"/>
    <w:basedOn w:val="Normal"/>
    <w:uiPriority w:val="0"/>
    <w:qFormat/>
    <w:pPr>
      <w:widowControl/>
      <w:pBdr>
        <w:top w:val="single" w:sz="4" w:space="0" w:color="000000"/>
        <w:left w:val="single" w:sz="4" w:space="0" w:color="000000"/>
        <w:bottom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95" w:customStyle="1">
    <w:name w:val="xl95"/>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宋体" w:hAnsi="宋体" w:cs="宋体"/>
      <w:kern w:val="0"/>
      <w:sz w:val="20"/>
      <w:szCs w:val="20"/>
    </w:rPr>
  </w:style>
  <w:style w:type="paragraph" w:styleId="Xl96" w:customStyle="1">
    <w:name w:val="xl96"/>
    <w:basedOn w:val="Normal"/>
    <w:uiPriority w:val="0"/>
    <w:qFormat/>
    <w:pPr>
      <w:widowControl/>
      <w:pBdr>
        <w:top w:val="single" w:sz="4" w:space="0" w:color="000000"/>
        <w:left w:val="single" w:sz="4" w:space="0" w:color="000000"/>
        <w:bottom w:val="single" w:sz="4" w:space="0" w:color="000000"/>
        <w:right w:val="single" w:sz="8" w:space="0" w:color="000000"/>
      </w:pBdr>
      <w:spacing w:beforeAutospacing="1" w:afterAutospacing="1"/>
      <w:jc w:val="start"/>
    </w:pPr>
    <w:rPr>
      <w:rFonts w:ascii="宋体" w:hAnsi="宋体" w:cs="宋体"/>
      <w:kern w:val="0"/>
      <w:sz w:val="20"/>
      <w:szCs w:val="20"/>
    </w:rPr>
  </w:style>
  <w:style w:type="paragraph" w:styleId="Xl97" w:customStyle="1">
    <w:name w:val="xl97"/>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98" w:customStyle="1">
    <w:name w:val="xl98"/>
    <w:basedOn w:val="Normal"/>
    <w:uiPriority w:val="0"/>
    <w:qFormat/>
    <w:pPr>
      <w:widowControl/>
      <w:pBdr>
        <w:top w:val="single" w:sz="4" w:space="0" w:color="000000"/>
        <w:left w:val="single" w:sz="4" w:space="0" w:color="000000"/>
        <w:bottom w:val="single" w:sz="8" w:space="0" w:color="000000"/>
        <w:right w:val="single" w:sz="8" w:space="0" w:color="000000"/>
      </w:pBdr>
      <w:shd w:val="clear" w:color="000000" w:fill="FFFFFF"/>
      <w:spacing w:beforeAutospacing="1" w:afterAutospacing="1"/>
      <w:jc w:val="start"/>
    </w:pPr>
    <w:rPr>
      <w:rFonts w:ascii="宋体" w:hAnsi="宋体" w:cs="宋体"/>
      <w:kern w:val="0"/>
      <w:sz w:val="20"/>
      <w:szCs w:val="20"/>
    </w:rPr>
  </w:style>
  <w:style w:type="paragraph" w:styleId="Xl99" w:customStyle="1">
    <w:name w:val="xl99"/>
    <w:basedOn w:val="Normal"/>
    <w:uiPriority w:val="0"/>
    <w:qFormat/>
    <w:pPr>
      <w:widowControl/>
      <w:spacing w:beforeAutospacing="1" w:afterAutospacing="1"/>
      <w:jc w:val="center"/>
    </w:pPr>
    <w:rPr>
      <w:rFonts w:ascii="宋体" w:hAnsi="宋体" w:cs="宋体"/>
      <w:kern w:val="0"/>
      <w:sz w:val="20"/>
      <w:szCs w:val="20"/>
    </w:rPr>
  </w:style>
  <w:style w:type="paragraph" w:styleId="Xl100" w:customStyle="1">
    <w:name w:val="xl100"/>
    <w:basedOn w:val="Normal"/>
    <w:uiPriority w:val="0"/>
    <w:qFormat/>
    <w:pPr>
      <w:widowControl/>
      <w:spacing w:beforeAutospacing="1" w:afterAutospacing="1"/>
      <w:jc w:val="start"/>
    </w:pPr>
    <w:rPr>
      <w:rFonts w:ascii="宋体" w:hAnsi="宋体" w:cs="宋体"/>
      <w:kern w:val="0"/>
      <w:sz w:val="20"/>
      <w:szCs w:val="20"/>
    </w:rPr>
  </w:style>
  <w:style w:type="paragraph" w:styleId="Xl101" w:customStyle="1">
    <w:name w:val="xl101"/>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102" w:customStyle="1">
    <w:name w:val="xl102"/>
    <w:basedOn w:val="Normal"/>
    <w:uiPriority w:val="0"/>
    <w:qFormat/>
    <w:pPr>
      <w:widowControl/>
      <w:pBdr>
        <w:top w:val="single" w:sz="4" w:space="0" w:color="000000"/>
        <w:left w:val="single" w:sz="4" w:space="0" w:color="000000"/>
        <w:bottom w:val="single" w:sz="4" w:space="0" w:color="000000"/>
      </w:pBdr>
      <w:spacing w:beforeAutospacing="1" w:afterAutospacing="1"/>
      <w:jc w:val="center"/>
    </w:pPr>
    <w:rPr>
      <w:rFonts w:ascii="宋体" w:hAnsi="宋体" w:cs="宋体"/>
      <w:kern w:val="0"/>
      <w:sz w:val="20"/>
      <w:szCs w:val="20"/>
    </w:rPr>
  </w:style>
  <w:style w:type="paragraph" w:styleId="Xl103" w:customStyle="1">
    <w:name w:val="xl103"/>
    <w:basedOn w:val="Normal"/>
    <w:uiPriority w:val="0"/>
    <w:qFormat/>
    <w:pPr>
      <w:widowControl/>
      <w:pBdr>
        <w:top w:val="single" w:sz="4" w:space="0" w:color="000000"/>
        <w:left w:val="single" w:sz="4" w:space="0" w:color="000000"/>
        <w:bottom w:val="single" w:sz="8" w:space="0" w:color="000000"/>
      </w:pBdr>
      <w:shd w:val="clear" w:color="000000" w:fill="FFFFFF"/>
      <w:spacing w:beforeAutospacing="1" w:afterAutospacing="1"/>
      <w:jc w:val="center"/>
    </w:pPr>
    <w:rPr>
      <w:rFonts w:ascii="宋体" w:hAnsi="宋体" w:cs="宋体"/>
      <w:kern w:val="0"/>
      <w:sz w:val="20"/>
      <w:szCs w:val="20"/>
    </w:rPr>
  </w:style>
  <w:style w:type="paragraph" w:styleId="Xl104" w:customStyle="1">
    <w:name w:val="xl104"/>
    <w:basedOn w:val="Normal"/>
    <w:uiPriority w:val="0"/>
    <w:qFormat/>
    <w:pPr>
      <w:widowControl/>
      <w:pBdr>
        <w:top w:val="single" w:sz="4" w:space="0" w:color="000000"/>
        <w:left w:val="single" w:sz="4" w:space="0" w:color="000000"/>
        <w:right w:val="single" w:sz="4" w:space="0" w:color="000000"/>
      </w:pBdr>
      <w:shd w:val="clear" w:color="000000" w:fill="FFFFFF"/>
      <w:spacing w:beforeAutospacing="1" w:afterAutospacing="1"/>
      <w:jc w:val="center"/>
    </w:pPr>
    <w:rPr>
      <w:rFonts w:ascii="宋体" w:hAnsi="宋体" w:cs="宋体"/>
      <w:kern w:val="0"/>
      <w:sz w:val="24"/>
    </w:rPr>
  </w:style>
  <w:style w:type="paragraph" w:styleId="Xl105" w:customStyle="1">
    <w:name w:val="xl105"/>
    <w:basedOn w:val="Normal"/>
    <w:uiPriority w:val="0"/>
    <w:qFormat/>
    <w:pPr>
      <w:widowControl/>
      <w:pBdr>
        <w:left w:val="single" w:sz="4" w:space="0" w:color="000000"/>
        <w:right w:val="single" w:sz="4" w:space="0" w:color="000000"/>
      </w:pBdr>
      <w:shd w:val="clear" w:color="000000" w:fill="FFFFFF"/>
      <w:spacing w:beforeAutospacing="1" w:afterAutospacing="1"/>
      <w:jc w:val="center"/>
    </w:pPr>
    <w:rPr>
      <w:rFonts w:ascii="宋体" w:hAnsi="宋体" w:cs="宋体"/>
      <w:kern w:val="0"/>
      <w:sz w:val="24"/>
    </w:rPr>
  </w:style>
  <w:style w:type="paragraph" w:styleId="Xl106" w:customStyle="1">
    <w:name w:val="xl106"/>
    <w:basedOn w:val="Normal"/>
    <w:uiPriority w:val="0"/>
    <w:qFormat/>
    <w:pPr>
      <w:widowControl/>
      <w:pBdr>
        <w:left w:val="single" w:sz="4" w:space="0" w:color="000000"/>
        <w:bottom w:val="single" w:sz="4" w:space="0" w:color="000000"/>
        <w:right w:val="single" w:sz="4" w:space="0" w:color="000000"/>
      </w:pBdr>
      <w:shd w:val="clear" w:color="000000" w:fill="FFFFFF"/>
      <w:spacing w:beforeAutospacing="1" w:afterAutospacing="1"/>
      <w:jc w:val="center"/>
    </w:pPr>
    <w:rPr>
      <w:rFonts w:ascii="宋体" w:hAnsi="宋体" w:cs="宋体"/>
      <w:kern w:val="0"/>
      <w:sz w:val="24"/>
    </w:rPr>
  </w:style>
  <w:style w:type="paragraph" w:styleId="Xl107" w:customStyle="1">
    <w:name w:val="xl107"/>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宋体" w:hAnsi="宋体" w:cs="宋体"/>
      <w:color w:val="000000"/>
      <w:kern w:val="0"/>
      <w:sz w:val="24"/>
    </w:rPr>
  </w:style>
  <w:style w:type="paragraph" w:styleId="Xl108" w:customStyle="1">
    <w:name w:val="xl108"/>
    <w:basedOn w:val="Normal"/>
    <w:uiPriority w:val="0"/>
    <w:qFormat/>
    <w:pPr>
      <w:widowControl/>
      <w:pBdr>
        <w:top w:val="single" w:sz="4" w:space="0" w:color="000000"/>
        <w:left w:val="single" w:sz="4" w:space="0" w:color="000000"/>
        <w:right w:val="single" w:sz="4" w:space="0" w:color="000000"/>
      </w:pBdr>
      <w:spacing w:beforeAutospacing="1" w:afterAutospacing="1"/>
      <w:jc w:val="center"/>
    </w:pPr>
    <w:rPr>
      <w:rFonts w:ascii="宋体" w:hAnsi="宋体" w:cs="宋体"/>
      <w:color w:val="000000"/>
      <w:kern w:val="0"/>
      <w:sz w:val="24"/>
    </w:rPr>
  </w:style>
  <w:style w:type="paragraph" w:styleId="Xl109" w:customStyle="1">
    <w:name w:val="xl109"/>
    <w:basedOn w:val="Normal"/>
    <w:uiPriority w:val="0"/>
    <w:qFormat/>
    <w:pPr>
      <w:widowControl/>
      <w:pBdr>
        <w:left w:val="single" w:sz="4" w:space="0" w:color="000000"/>
        <w:right w:val="single" w:sz="4" w:space="0" w:color="000000"/>
      </w:pBdr>
      <w:spacing w:beforeAutospacing="1" w:afterAutospacing="1"/>
      <w:jc w:val="center"/>
    </w:pPr>
    <w:rPr>
      <w:rFonts w:ascii="宋体" w:hAnsi="宋体" w:cs="宋体"/>
      <w:color w:val="000000"/>
      <w:kern w:val="0"/>
      <w:sz w:val="24"/>
    </w:rPr>
  </w:style>
  <w:style w:type="paragraph" w:styleId="Xl110" w:customStyle="1">
    <w:name w:val="xl110"/>
    <w:basedOn w:val="Normal"/>
    <w:uiPriority w:val="0"/>
    <w:qFormat/>
    <w:pPr>
      <w:widowControl/>
      <w:pBdr>
        <w:left w:val="single" w:sz="4" w:space="0" w:color="000000"/>
        <w:bottom w:val="single" w:sz="4" w:space="0" w:color="000000"/>
        <w:right w:val="single" w:sz="4" w:space="0" w:color="000000"/>
      </w:pBdr>
      <w:spacing w:beforeAutospacing="1" w:afterAutospacing="1"/>
      <w:jc w:val="center"/>
    </w:pPr>
    <w:rPr>
      <w:rFonts w:ascii="宋体" w:hAnsi="宋体" w:cs="宋体"/>
      <w:color w:val="000000"/>
      <w:kern w:val="0"/>
      <w:sz w:val="24"/>
    </w:rPr>
  </w:style>
  <w:style w:type="paragraph" w:styleId="Xl111" w:customStyle="1">
    <w:name w:val="xl111"/>
    <w:basedOn w:val="Normal"/>
    <w:uiPriority w:val="0"/>
    <w:qFormat/>
    <w:pPr>
      <w:widowControl/>
      <w:pBdr>
        <w:top w:val="single" w:sz="4" w:space="0" w:color="000000"/>
        <w:left w:val="single" w:sz="8" w:space="0" w:color="000000"/>
        <w:bottom w:val="single" w:sz="4" w:space="0" w:color="000000"/>
        <w:right w:val="single" w:sz="4" w:space="0" w:color="000000"/>
      </w:pBdr>
      <w:shd w:val="clear" w:color="000000" w:fill="FFFFFF"/>
      <w:spacing w:beforeAutospacing="1" w:afterAutospacing="1"/>
      <w:jc w:val="center"/>
    </w:pPr>
    <w:rPr>
      <w:rFonts w:ascii="宋体" w:hAnsi="宋体" w:cs="宋体"/>
      <w:b/>
      <w:bCs/>
      <w:kern w:val="0"/>
      <w:sz w:val="24"/>
    </w:rPr>
  </w:style>
  <w:style w:type="paragraph" w:styleId="Xl112" w:customStyle="1">
    <w:name w:val="xl112"/>
    <w:basedOn w:val="Normal"/>
    <w:uiPriority w:val="0"/>
    <w:qFormat/>
    <w:pPr>
      <w:widowControl/>
      <w:pBdr>
        <w:top w:val="single" w:sz="4" w:space="0" w:color="000000"/>
        <w:left w:val="single" w:sz="8" w:space="0" w:color="000000"/>
        <w:right w:val="single" w:sz="4" w:space="0" w:color="000000"/>
      </w:pBdr>
      <w:shd w:val="clear" w:color="000000" w:fill="FFFFFF"/>
      <w:spacing w:beforeAutospacing="1" w:afterAutospacing="1"/>
      <w:jc w:val="center"/>
    </w:pPr>
    <w:rPr>
      <w:rFonts w:ascii="宋体" w:hAnsi="宋体" w:cs="宋体"/>
      <w:b/>
      <w:bCs/>
      <w:kern w:val="0"/>
      <w:sz w:val="24"/>
    </w:rPr>
  </w:style>
  <w:style w:type="paragraph" w:styleId="Xl113" w:customStyle="1">
    <w:name w:val="xl113"/>
    <w:basedOn w:val="Normal"/>
    <w:uiPriority w:val="0"/>
    <w:qFormat/>
    <w:pPr>
      <w:widowControl/>
      <w:pBdr>
        <w:left w:val="single" w:sz="8" w:space="0" w:color="000000"/>
        <w:right w:val="single" w:sz="4" w:space="0" w:color="000000"/>
      </w:pBdr>
      <w:shd w:val="clear" w:color="000000" w:fill="FFFFFF"/>
      <w:spacing w:beforeAutospacing="1" w:afterAutospacing="1"/>
      <w:jc w:val="center"/>
    </w:pPr>
    <w:rPr>
      <w:rFonts w:ascii="宋体" w:hAnsi="宋体" w:cs="宋体"/>
      <w:b/>
      <w:bCs/>
      <w:kern w:val="0"/>
      <w:sz w:val="24"/>
    </w:rPr>
  </w:style>
  <w:style w:type="paragraph" w:styleId="Xl114" w:customStyle="1">
    <w:name w:val="xl114"/>
    <w:basedOn w:val="Normal"/>
    <w:uiPriority w:val="0"/>
    <w:qFormat/>
    <w:pPr>
      <w:widowControl/>
      <w:pBdr>
        <w:left w:val="single" w:sz="8" w:space="0" w:color="000000"/>
        <w:bottom w:val="single" w:sz="4" w:space="0" w:color="000000"/>
        <w:right w:val="single" w:sz="4" w:space="0" w:color="000000"/>
      </w:pBdr>
      <w:shd w:val="clear" w:color="000000" w:fill="FFFFFF"/>
      <w:spacing w:beforeAutospacing="1" w:afterAutospacing="1"/>
      <w:jc w:val="center"/>
    </w:pPr>
    <w:rPr>
      <w:rFonts w:ascii="宋体" w:hAnsi="宋体" w:cs="宋体"/>
      <w:b/>
      <w:bCs/>
      <w:kern w:val="0"/>
      <w:sz w:val="24"/>
    </w:rPr>
  </w:style>
  <w:style w:type="paragraph" w:styleId="Xl115" w:customStyle="1">
    <w:name w:val="xl115"/>
    <w:basedOn w:val="Normal"/>
    <w:uiPriority w:val="0"/>
    <w:qFormat/>
    <w:pPr>
      <w:widowControl/>
      <w:pBdr>
        <w:top w:val="single" w:sz="4" w:space="0" w:color="000000"/>
        <w:left w:val="single" w:sz="8" w:space="0" w:color="000000"/>
        <w:right w:val="single" w:sz="4" w:space="0" w:color="000000"/>
      </w:pBdr>
      <w:spacing w:beforeAutospacing="1" w:afterAutospacing="1"/>
      <w:jc w:val="center"/>
    </w:pPr>
    <w:rPr>
      <w:rFonts w:ascii="宋体" w:hAnsi="宋体" w:cs="宋体"/>
      <w:b/>
      <w:bCs/>
      <w:kern w:val="0"/>
      <w:sz w:val="24"/>
    </w:rPr>
  </w:style>
  <w:style w:type="paragraph" w:styleId="Xl116" w:customStyle="1">
    <w:name w:val="xl116"/>
    <w:basedOn w:val="Normal"/>
    <w:uiPriority w:val="0"/>
    <w:qFormat/>
    <w:pPr>
      <w:widowControl/>
      <w:pBdr>
        <w:left w:val="single" w:sz="8" w:space="0" w:color="000000"/>
        <w:right w:val="single" w:sz="4" w:space="0" w:color="000000"/>
      </w:pBdr>
      <w:spacing w:beforeAutospacing="1" w:afterAutospacing="1"/>
      <w:jc w:val="center"/>
    </w:pPr>
    <w:rPr>
      <w:rFonts w:ascii="宋体" w:hAnsi="宋体" w:cs="宋体"/>
      <w:b/>
      <w:bCs/>
      <w:kern w:val="0"/>
      <w:sz w:val="24"/>
    </w:rPr>
  </w:style>
  <w:style w:type="paragraph" w:styleId="Xl117" w:customStyle="1">
    <w:name w:val="xl117"/>
    <w:basedOn w:val="Normal"/>
    <w:uiPriority w:val="0"/>
    <w:qFormat/>
    <w:pPr>
      <w:widowControl/>
      <w:pBdr>
        <w:left w:val="single" w:sz="8" w:space="0" w:color="000000"/>
        <w:bottom w:val="single" w:sz="8" w:space="0" w:color="000000"/>
        <w:right w:val="single" w:sz="4" w:space="0" w:color="000000"/>
      </w:pBdr>
      <w:spacing w:beforeAutospacing="1" w:afterAutospacing="1"/>
      <w:jc w:val="center"/>
    </w:pPr>
    <w:rPr>
      <w:rFonts w:ascii="宋体" w:hAnsi="宋体" w:cs="宋体"/>
      <w:b/>
      <w:bCs/>
      <w:kern w:val="0"/>
      <w:sz w:val="24"/>
    </w:rPr>
  </w:style>
  <w:style w:type="paragraph" w:styleId="Xl118" w:customStyle="1">
    <w:name w:val="xl118"/>
    <w:basedOn w:val="Normal"/>
    <w:uiPriority w:val="0"/>
    <w:qFormat/>
    <w:pPr>
      <w:widowControl/>
      <w:pBdr>
        <w:top w:val="single" w:sz="4" w:space="0" w:color="000000"/>
        <w:left w:val="single" w:sz="4" w:space="0" w:color="000000"/>
        <w:right w:val="single" w:sz="4" w:space="0" w:color="000000"/>
      </w:pBdr>
      <w:spacing w:beforeAutospacing="1" w:afterAutospacing="1"/>
      <w:jc w:val="center"/>
    </w:pPr>
    <w:rPr>
      <w:rFonts w:ascii="宋体" w:hAnsi="宋体" w:cs="宋体"/>
      <w:kern w:val="0"/>
      <w:sz w:val="24"/>
    </w:rPr>
  </w:style>
  <w:style w:type="paragraph" w:styleId="Xl119" w:customStyle="1">
    <w:name w:val="xl119"/>
    <w:basedOn w:val="Normal"/>
    <w:uiPriority w:val="0"/>
    <w:qFormat/>
    <w:pPr>
      <w:widowControl/>
      <w:pBdr>
        <w:left w:val="single" w:sz="4" w:space="0" w:color="000000"/>
        <w:bottom w:val="single" w:sz="8" w:space="0" w:color="000000"/>
        <w:right w:val="single" w:sz="4" w:space="0" w:color="000000"/>
      </w:pBdr>
      <w:spacing w:beforeAutospacing="1" w:afterAutospacing="1"/>
      <w:jc w:val="center"/>
    </w:pPr>
    <w:rPr>
      <w:rFonts w:ascii="宋体" w:hAnsi="宋体" w:cs="宋体"/>
      <w:kern w:val="0"/>
      <w:sz w:val="24"/>
    </w:rPr>
  </w:style>
  <w:style w:type="paragraph" w:styleId="Xl120" w:customStyle="1">
    <w:name w:val="xl120"/>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rFonts w:ascii="宋体" w:hAnsi="宋体" w:cs="宋体"/>
      <w:kern w:val="0"/>
      <w:sz w:val="24"/>
    </w:rPr>
  </w:style>
  <w:style w:type="paragraph" w:styleId="Font14" w:customStyle="1">
    <w:name w:val="font14"/>
    <w:basedOn w:val="Normal"/>
    <w:uiPriority w:val="0"/>
    <w:qFormat/>
    <w:pPr>
      <w:widowControl/>
      <w:spacing w:beforeAutospacing="1" w:afterAutospacing="1"/>
      <w:jc w:val="start"/>
    </w:pPr>
    <w:rPr>
      <w:rFonts w:ascii="宋体" w:hAnsi="宋体" w:cs="宋体"/>
      <w:kern w:val="0"/>
      <w:sz w:val="18"/>
      <w:szCs w:val="18"/>
    </w:rPr>
  </w:style>
  <w:style w:type="paragraph" w:styleId="Font15" w:customStyle="1">
    <w:name w:val="font15"/>
    <w:basedOn w:val="Normal"/>
    <w:uiPriority w:val="0"/>
    <w:qFormat/>
    <w:pPr>
      <w:widowControl/>
      <w:spacing w:beforeAutospacing="1" w:afterAutospacing="1"/>
      <w:jc w:val="start"/>
    </w:pPr>
    <w:rPr>
      <w:rFonts w:ascii="宋体" w:hAnsi="宋体" w:cs="宋体"/>
      <w:color w:val="000000"/>
      <w:kern w:val="0"/>
      <w:sz w:val="22"/>
      <w:szCs w:val="22"/>
    </w:rPr>
  </w:style>
  <w:style w:type="paragraph" w:styleId="Font16" w:customStyle="1">
    <w:name w:val="font16"/>
    <w:basedOn w:val="Normal"/>
    <w:uiPriority w:val="0"/>
    <w:qFormat/>
    <w:pPr>
      <w:widowControl/>
      <w:spacing w:beforeAutospacing="1" w:afterAutospacing="1"/>
      <w:jc w:val="start"/>
    </w:pPr>
    <w:rPr>
      <w:rFonts w:ascii="宋体" w:hAnsi="宋体" w:cs="宋体"/>
      <w:b/>
      <w:bCs/>
      <w:color w:val="000000"/>
      <w:kern w:val="0"/>
      <w:sz w:val="18"/>
      <w:szCs w:val="18"/>
    </w:rPr>
  </w:style>
  <w:style w:type="paragraph" w:styleId="Font17" w:customStyle="1">
    <w:name w:val="font17"/>
    <w:basedOn w:val="Normal"/>
    <w:uiPriority w:val="0"/>
    <w:qFormat/>
    <w:pPr>
      <w:widowControl/>
      <w:spacing w:beforeAutospacing="1" w:afterAutospacing="1"/>
      <w:jc w:val="start"/>
    </w:pPr>
    <w:rPr>
      <w:rFonts w:ascii="宋体" w:hAnsi="宋体" w:cs="宋体"/>
      <w:color w:val="000000"/>
      <w:kern w:val="0"/>
      <w:sz w:val="22"/>
      <w:szCs w:val="22"/>
    </w:rPr>
  </w:style>
  <w:style w:type="table" w:default="1" w:styleId="19">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205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ages>12</Pages>
  <Words>5683</Words>
  <Characters>5752</Characters>
  <CharactersWithSpaces>5887</CharactersWithSpaces>
  <Paragraphs>448</Paragraphs>
  <Company>Microsoft Corporation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2015-05-20T08:41:00Z</dcterms:created>
  <dc:creator>未名潮</dc:creator>
  <dc:description/>
  <dc:language>en-US</dc:language>
  <cp:lastModifiedBy>李想</cp:lastModifiedBy>
  <cp:lastPrinted>2009-02-17T05:21:00Z</cp:lastPrinted>
  <dcterms:modified xsi:type="dcterms:W3CDTF">2019-11-26T14:25:07Z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y fmtid="{D5CDD505-2E9C-101B-9397-08002B2CF9AE}" pid="3" name="fileid">
    <vt:lpwstr>558036</vt:lpwstr>
  </property>
  <property fmtid="{D5CDD505-2E9C-101B-9397-08002B2CF9AE}" pid="4" name="name">
    <vt:lpwstr>k6pe2g7ynz34922.doc</vt:lpwstr>
  </property>
</Properties>
</file>