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sectPr>
          <w:headerReference w:type="default" r:id="rId3"/>
          <w:footerReference w:type="default" r:id="rId4"/>
          <w:type w:val="nextPage"/>
          <w:pgSz w:w="11906" w:h="16838"/>
          <w:pgMar w:left="1701" w:right="1701" w:header="567" w:top="1440" w:footer="992" w:bottom="1049" w:gutter="0"/>
          <w:pgNumType w:fmt="decimal"/>
          <w:formProt w:val="false"/>
          <w:textDirection w:val="lrTb"/>
          <w:docGrid w:type="lines" w:linePitch="312" w:charSpace="0"/>
        </w:sectPr>
        <w:pStyle w:val="Normal"/>
        <w:bidi w:val="0"/>
        <w:jc w:val="center"/>
        <w:rPr>
          <w:rFonts w:ascii="黑体" w:hAnsi="黑体" w:eastAsia="黑体"/>
          <w:color w:val="0070C0"/>
          <w:sz w:val="24"/>
        </w:rPr>
      </w:pPr>
      <w:r>
        <w:rPr>
          <w:rFonts w:eastAsia="黑体" w:ascii="黑体" w:hAnsi="黑体"/>
          <w:color w:val="0070C0"/>
          <w:sz w:val="24"/>
        </w:rPr>
        <mc:AlternateContent>
          <mc:Choice Requires="wps">
            <w:drawing>
              <wp:anchor behindDoc="0" distT="0" distB="0" distL="114300" distR="114300" simplePos="0" locked="0" layoutInCell="0" allowOverlap="1" relativeHeight="2">
                <wp:simplePos x="0" y="0"/>
                <wp:positionH relativeFrom="column">
                  <wp:posOffset>-1078865</wp:posOffset>
                </wp:positionH>
                <wp:positionV relativeFrom="paragraph">
                  <wp:posOffset>-907415</wp:posOffset>
                </wp:positionV>
                <wp:extent cx="7588250" cy="10746105"/>
                <wp:effectExtent l="0" t="0" r="0" b="0"/>
                <wp:wrapSquare wrapText="bothSides"/>
                <wp:docPr id="1" name="图片框 12"/>
                <a:graphic xmlns:a="http://schemas.openxmlformats.org/drawingml/2006/main">
                  <a:graphicData uri="http://schemas.openxmlformats.org/drawingml/2006/picture">
                    <pic:pic xmlns:pic="http://schemas.openxmlformats.org/drawingml/2006/picture">
                      <pic:nvPicPr>
                        <pic:cNvPr id="0" name="图片框 12" descr=""/>
                        <pic:cNvPicPr/>
                      </pic:nvPicPr>
                      <pic:blipFill>
                        <a:blip r:embed="rId2"/>
                        <a:stretch/>
                      </pic:blipFill>
                      <pic:spPr>
                        <a:xfrm>
                          <a:off x="0" y="0"/>
                          <a:ext cx="7587720" cy="10745640"/>
                        </a:xfrm>
                        <a:prstGeom prst="rect">
                          <a:avLst/>
                        </a:prstGeom>
                        <a:ln w="0">
                          <a:noFill/>
                        </a:ln>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图片框 12" stroked="f" style="position:absolute;margin-left:-84.95pt;margin-top:-71.45pt;width:597.4pt;height:846.05pt;mso-wrap-style:none;v-text-anchor:middle" type="shapetype_75">
                <v:imagedata r:id="rId2" o:detectmouseclick="t"/>
                <v:stroke color="#3465a4" joinstyle="round" endcap="flat"/>
                <w10:wrap type="square"/>
              </v:shape>
            </w:pict>
          </mc:Fallback>
        </mc:AlternateContent>
      </w:r>
      <w:bookmarkStart w:id="0" w:name="_GoBack"/>
      <w:bookmarkStart w:id="1" w:name="_GoBack"/>
      <w:bookmarkEnd w:id="1"/>
    </w:p>
    <w:p>
      <w:pPr>
        <w:pStyle w:val="Normal"/>
        <w:bidi w:val="0"/>
        <w:jc w:val="center"/>
        <w:rPr>
          <w:rFonts w:ascii="黑体" w:hAnsi="黑体" w:eastAsia="黑体"/>
          <w:color w:val="0070C0"/>
          <w:sz w:val="24"/>
        </w:rPr>
      </w:pPr>
      <w:r>
        <w:rPr>
          <w:rFonts w:eastAsia="黑体" w:ascii="黑体" w:hAnsi="黑体"/>
          <w:color w:val="0070C0"/>
          <w:sz w:val="24"/>
        </w:rPr>
      </w:r>
    </w:p>
    <w:p>
      <w:pPr>
        <w:pStyle w:val="Normal"/>
        <w:bidi w:val="0"/>
        <w:jc w:val="center"/>
        <w:rPr>
          <w:rFonts w:ascii="黑体" w:hAnsi="黑体" w:eastAsia="黑体"/>
          <w:color w:val="0070C0"/>
          <w:sz w:val="24"/>
        </w:rPr>
      </w:pPr>
      <w:r>
        <w:rPr>
          <w:rFonts w:eastAsia="黑体" w:ascii="黑体" w:hAnsi="黑体"/>
          <w:color w:val="0070C0"/>
          <w:sz w:val="24"/>
        </w:rPr>
      </w:r>
    </w:p>
    <w:p>
      <w:pPr>
        <w:pStyle w:val="Normal"/>
        <w:bidi w:val="0"/>
        <w:jc w:val="center"/>
        <w:rPr>
          <w:rFonts w:ascii="黑体" w:hAnsi="黑体" w:eastAsia="黑体"/>
          <w:color w:val="0070C0"/>
          <w:sz w:val="24"/>
        </w:rPr>
      </w:pPr>
      <w:r>
        <w:rPr>
          <w:rFonts w:eastAsia="黑体" w:ascii="黑体" w:hAnsi="黑体"/>
          <w:color w:val="0070C0"/>
          <w:sz w:val="24"/>
        </w:rPr>
      </w:r>
    </w:p>
    <w:p>
      <w:pPr>
        <w:pStyle w:val="Normal"/>
        <w:bidi w:val="0"/>
        <w:jc w:val="center"/>
        <w:rPr>
          <w:rFonts w:ascii="楷体_GB2312" w:hAnsi="楷体_GB2312" w:eastAsia="楷体_GB2312"/>
          <w:b/>
          <w:b/>
          <w:color w:val="FF0000"/>
          <w:sz w:val="28"/>
          <w:szCs w:val="28"/>
        </w:rPr>
      </w:pPr>
      <w:r>
        <w:rPr>
          <w:rFonts w:eastAsia="微软雅黑" w:ascii="微软雅黑" w:hAnsi="微软雅黑"/>
          <w:b/>
          <w:color w:val="0070C0"/>
          <w:sz w:val="44"/>
          <w:szCs w:val="44"/>
        </w:rPr>
        <w:t xml:space="preserve"> </w:t>
      </w:r>
      <w:r>
        <w:rPr>
          <w:rFonts w:ascii="微软雅黑" w:hAnsi="微软雅黑" w:eastAsia="微软雅黑"/>
          <w:b/>
          <w:color w:val="0070C0"/>
          <w:sz w:val="44"/>
          <w:szCs w:val="44"/>
        </w:rPr>
        <w:t>物流部门</w:t>
      </w:r>
      <w:r>
        <w:rPr>
          <w:rFonts w:eastAsia="微软雅黑" w:ascii="微软雅黑" w:hAnsi="微软雅黑"/>
          <w:b/>
          <w:color w:val="0070C0"/>
          <w:sz w:val="44"/>
          <w:szCs w:val="44"/>
        </w:rPr>
        <w:t>KPI</w:t>
      </w:r>
      <w:r>
        <w:rPr>
          <w:rFonts w:ascii="微软雅黑" w:hAnsi="微软雅黑" w:eastAsia="微软雅黑"/>
          <w:b/>
          <w:color w:val="0070C0"/>
          <w:sz w:val="44"/>
          <w:szCs w:val="44"/>
        </w:rPr>
        <w:t>指标（结合</w:t>
      </w:r>
      <w:r>
        <w:rPr>
          <w:rFonts w:eastAsia="微软雅黑" w:ascii="微软雅黑" w:hAnsi="微软雅黑"/>
          <w:b/>
          <w:color w:val="0070C0"/>
          <w:sz w:val="44"/>
          <w:szCs w:val="44"/>
        </w:rPr>
        <w:t>BSC</w:t>
      </w:r>
      <w:r>
        <w:rPr>
          <w:rFonts w:ascii="微软雅黑" w:hAnsi="微软雅黑" w:eastAsia="微软雅黑"/>
          <w:b/>
          <w:color w:val="0070C0"/>
          <w:sz w:val="44"/>
          <w:szCs w:val="44"/>
        </w:rPr>
        <w:t>）</w:t>
      </w:r>
    </w:p>
    <w:p>
      <w:pPr>
        <w:pStyle w:val="Normal"/>
        <w:bidi w:val="0"/>
        <w:spacing w:lineRule="exact" w:line="360"/>
        <w:ind w:start="-424" w:end="-567" w:firstLine="470"/>
        <w:jc w:val="start"/>
        <w:rPr>
          <w:rFonts w:ascii="楷体_GB2312" w:hAnsi="楷体_GB2312" w:eastAsia="楷体_GB2312"/>
          <w:b/>
          <w:b/>
          <w:sz w:val="24"/>
        </w:rPr>
      </w:pPr>
      <w:r>
        <w:rPr>
          <w:rFonts w:eastAsia="楷体_GB2312" w:ascii="楷体_GB2312" w:hAnsi="楷体_GB2312"/>
          <w:b/>
          <w:sz w:val="24"/>
        </w:rPr>
      </w:r>
    </w:p>
    <w:p>
      <w:pPr>
        <w:pStyle w:val="Normal"/>
        <w:bidi w:val="0"/>
        <w:spacing w:lineRule="exact" w:line="360"/>
        <w:ind w:start="-424" w:end="-567" w:firstLine="470"/>
        <w:jc w:val="start"/>
        <w:rPr>
          <w:rFonts w:ascii="楷体_GB2312" w:hAnsi="楷体_GB2312" w:eastAsia="楷体_GB2312"/>
          <w:b/>
          <w:b/>
          <w:sz w:val="24"/>
        </w:rPr>
      </w:pPr>
      <w:r>
        <w:rPr>
          <w:rFonts w:eastAsia="楷体_GB2312" w:ascii="楷体_GB2312" w:hAnsi="楷体_GB2312"/>
          <w:b/>
          <w:sz w:val="24"/>
        </w:rPr>
      </w:r>
    </w:p>
    <w:p>
      <w:pPr>
        <w:pStyle w:val="Normal"/>
        <w:bidi w:val="0"/>
        <w:spacing w:lineRule="exact" w:line="700"/>
        <w:ind w:start="-424" w:end="-567" w:firstLine="624"/>
        <w:jc w:val="start"/>
        <w:rPr>
          <w:rFonts w:ascii="微软雅黑" w:hAnsi="微软雅黑" w:eastAsia="微软雅黑"/>
          <w:sz w:val="32"/>
          <w:szCs w:val="32"/>
        </w:rPr>
      </w:pPr>
      <w:r>
        <w:rPr>
          <w:rFonts w:ascii="微软雅黑" w:hAnsi="微软雅黑" w:eastAsia="微软雅黑"/>
          <w:b/>
          <w:sz w:val="32"/>
          <w:szCs w:val="32"/>
        </w:rPr>
        <w:t>说明：</w:t>
      </w:r>
      <w:r>
        <w:rPr>
          <w:rFonts w:ascii="微软雅黑" w:hAnsi="微软雅黑" w:eastAsia="微软雅黑"/>
          <w:sz w:val="32"/>
          <w:szCs w:val="32"/>
        </w:rPr>
        <w:t>本表格列出了物流管理部门常用的关键绩效考核指标（</w:t>
      </w:r>
      <w:r>
        <w:rPr>
          <w:rFonts w:eastAsia="微软雅黑" w:ascii="微软雅黑" w:hAnsi="微软雅黑"/>
          <w:sz w:val="32"/>
          <w:szCs w:val="32"/>
        </w:rPr>
        <w:t>KPI</w:t>
      </w:r>
      <w:r>
        <w:rPr>
          <w:rFonts w:ascii="微软雅黑" w:hAnsi="微软雅黑" w:eastAsia="微软雅黑"/>
          <w:sz w:val="32"/>
          <w:szCs w:val="32"/>
        </w:rPr>
        <w:t>指标）内容，共</w:t>
      </w:r>
      <w:r>
        <w:rPr>
          <w:rFonts w:eastAsia="微软雅黑" w:ascii="微软雅黑" w:hAnsi="微软雅黑"/>
          <w:b/>
          <w:color w:val="FF0000"/>
          <w:sz w:val="32"/>
          <w:szCs w:val="32"/>
        </w:rPr>
        <w:t>70</w:t>
      </w:r>
      <w:r>
        <w:rPr>
          <w:rFonts w:ascii="微软雅黑" w:hAnsi="微软雅黑" w:eastAsia="微软雅黑"/>
          <w:b/>
          <w:color w:val="FF0000"/>
          <w:sz w:val="32"/>
          <w:szCs w:val="32"/>
        </w:rPr>
        <w:t>余项</w:t>
      </w:r>
      <w:r>
        <w:rPr>
          <w:rFonts w:ascii="微软雅黑" w:hAnsi="微软雅黑" w:eastAsia="微软雅黑"/>
          <w:sz w:val="32"/>
          <w:szCs w:val="32"/>
        </w:rPr>
        <w:t>。</w:t>
      </w:r>
      <w:r>
        <w:rPr>
          <w:rFonts w:ascii="微软雅黑" w:hAnsi="微软雅黑" w:eastAsia="微软雅黑"/>
          <w:b/>
          <w:sz w:val="32"/>
          <w:szCs w:val="32"/>
        </w:rPr>
        <w:t>具体包括各项指标的名称、指标定义或者计算公式、指标详细说明、指标性质（基于平衡计分卡分类）、考核周期、适用范围（主要指职位）以及数据来源说明，所列指标还按照该部门的工作职能进行了科学分类。</w:t>
      </w:r>
      <w:r>
        <w:rPr>
          <w:rFonts w:ascii="微软雅黑" w:hAnsi="微软雅黑" w:eastAsia="微软雅黑"/>
          <w:sz w:val="32"/>
          <w:szCs w:val="32"/>
        </w:rPr>
        <w:t>这样，使用者就可以根据工作职能范畴或者具体的工作岗位迅速找到对应的</w:t>
      </w:r>
      <w:r>
        <w:rPr>
          <w:rFonts w:eastAsia="微软雅黑" w:ascii="微软雅黑" w:hAnsi="微软雅黑"/>
          <w:sz w:val="32"/>
          <w:szCs w:val="32"/>
        </w:rPr>
        <w:t>KPI</w:t>
      </w:r>
      <w:r>
        <w:rPr>
          <w:rFonts w:ascii="微软雅黑" w:hAnsi="微软雅黑" w:eastAsia="微软雅黑"/>
          <w:sz w:val="32"/>
          <w:szCs w:val="32"/>
        </w:rPr>
        <w:t>指标，同时还可以按照平衡计分卡的形式对所选指标进行重新组合，从而快速、准确、有效的为某岗位设置基于平衡计分卡的</w:t>
      </w:r>
      <w:r>
        <w:rPr>
          <w:rFonts w:eastAsia="微软雅黑" w:ascii="微软雅黑" w:hAnsi="微软雅黑"/>
          <w:sz w:val="32"/>
          <w:szCs w:val="32"/>
        </w:rPr>
        <w:t>KPI</w:t>
      </w:r>
      <w:r>
        <w:rPr>
          <w:rFonts w:ascii="微软雅黑" w:hAnsi="微软雅黑" w:eastAsia="微软雅黑"/>
          <w:sz w:val="32"/>
          <w:szCs w:val="32"/>
        </w:rPr>
        <w:t>指标。</w:t>
      </w:r>
    </w:p>
    <w:p>
      <w:pPr>
        <w:pStyle w:val="Normal"/>
        <w:bidi w:val="0"/>
        <w:spacing w:lineRule="exact" w:line="700"/>
        <w:ind w:start="-424" w:end="-567" w:firstLine="624"/>
        <w:jc w:val="start"/>
        <w:rPr>
          <w:rFonts w:ascii="微软雅黑" w:hAnsi="微软雅黑" w:eastAsia="微软雅黑"/>
          <w:sz w:val="32"/>
          <w:szCs w:val="32"/>
        </w:rPr>
      </w:pPr>
      <w:r>
        <w:rPr>
          <w:rFonts w:ascii="微软雅黑" w:hAnsi="微软雅黑" w:eastAsia="微软雅黑"/>
          <w:sz w:val="32"/>
          <w:szCs w:val="32"/>
        </w:rPr>
        <w:t>当然，需要注意的是，所列指标的分类方式、具体内容仅供参考，使用者不可盲目的选取使用。尤其是在</w:t>
      </w:r>
      <w:r>
        <w:rPr>
          <w:rFonts w:eastAsia="微软雅黑" w:ascii="微软雅黑" w:hAnsi="微软雅黑"/>
          <w:sz w:val="32"/>
          <w:szCs w:val="32"/>
        </w:rPr>
        <w:t>KPI</w:t>
      </w:r>
      <w:r>
        <w:rPr>
          <w:rFonts w:ascii="微软雅黑" w:hAnsi="微软雅黑" w:eastAsia="微软雅黑"/>
          <w:sz w:val="32"/>
          <w:szCs w:val="32"/>
        </w:rPr>
        <w:t>指标设定工作中，一方面需要遵循胜任力素质模型、</w:t>
      </w:r>
      <w:r>
        <w:rPr>
          <w:rFonts w:eastAsia="微软雅黑" w:ascii="微软雅黑" w:hAnsi="微软雅黑"/>
          <w:sz w:val="32"/>
          <w:szCs w:val="32"/>
        </w:rPr>
        <w:t>BSC</w:t>
      </w:r>
      <w:r>
        <w:rPr>
          <w:rFonts w:ascii="微软雅黑" w:hAnsi="微软雅黑" w:eastAsia="微软雅黑"/>
          <w:sz w:val="32"/>
          <w:szCs w:val="32"/>
        </w:rPr>
        <w:t>、</w:t>
      </w:r>
      <w:r>
        <w:rPr>
          <w:rFonts w:eastAsia="微软雅黑" w:ascii="微软雅黑" w:hAnsi="微软雅黑"/>
          <w:sz w:val="32"/>
          <w:szCs w:val="32"/>
        </w:rPr>
        <w:t>MBO</w:t>
      </w:r>
      <w:r>
        <w:rPr>
          <w:rFonts w:ascii="微软雅黑" w:hAnsi="微软雅黑" w:eastAsia="微软雅黑"/>
          <w:sz w:val="32"/>
          <w:szCs w:val="32"/>
        </w:rPr>
        <w:t>管理、</w:t>
      </w:r>
      <w:r>
        <w:rPr>
          <w:rFonts w:eastAsia="微软雅黑" w:ascii="微软雅黑" w:hAnsi="微软雅黑"/>
          <w:sz w:val="32"/>
          <w:szCs w:val="32"/>
        </w:rPr>
        <w:t>KPI</w:t>
      </w:r>
      <w:r>
        <w:rPr>
          <w:rFonts w:ascii="微软雅黑" w:hAnsi="微软雅黑" w:eastAsia="微软雅黑"/>
          <w:sz w:val="32"/>
          <w:szCs w:val="32"/>
        </w:rPr>
        <w:t>设定原则等基本理论而进行操作使用；另一方面应根据企业性质特征、具体职位要求就所列指标进行适当的调整或者灵活选取应用。</w:t>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sectPr>
          <w:headerReference w:type="default" r:id="rId5"/>
          <w:footerReference w:type="default" r:id="rId6"/>
          <w:type w:val="nextPage"/>
          <w:pgSz w:w="11906" w:h="16838"/>
          <w:pgMar w:left="1701" w:right="1701" w:header="567" w:top="1440" w:footer="992" w:bottom="1049" w:gutter="0"/>
          <w:pgNumType w:fmt="decimal"/>
          <w:formProt w:val="false"/>
          <w:textDirection w:val="lrTb"/>
          <w:docGrid w:type="lines" w:linePitch="312" w:charSpace="0"/>
        </w:sect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tbl>
      <w:tblPr>
        <w:tblStyle w:val="19"/>
        <w:tblW w:w="16019" w:type="dxa"/>
        <w:jc w:val="start"/>
        <w:tblInd w:w="-459" w:type="dxa"/>
        <w:tblLayout w:type="fixed"/>
        <w:tblCellMar>
          <w:top w:w="0" w:type="dxa"/>
          <w:start w:w="108" w:type="dxa"/>
          <w:bottom w:w="0" w:type="dxa"/>
          <w:end w:w="108" w:type="dxa"/>
        </w:tblCellMar>
      </w:tblPr>
      <w:tblGrid>
        <w:gridCol w:w="1300"/>
        <w:gridCol w:w="1240"/>
        <w:gridCol w:w="1580"/>
        <w:gridCol w:w="4243"/>
        <w:gridCol w:w="2268"/>
        <w:gridCol w:w="1240"/>
        <w:gridCol w:w="745"/>
        <w:gridCol w:w="1134"/>
        <w:gridCol w:w="1301"/>
        <w:gridCol w:w="966"/>
      </w:tblGrid>
      <w:tr>
        <w:trPr>
          <w:tblHeader w:val="true"/>
          <w:trHeight w:val="660" w:hRule="atLeast"/>
        </w:trPr>
        <w:tc>
          <w:tcPr>
            <w:tcW w:w="1300" w:type="dxa"/>
            <w:tcBorders>
              <w:top w:val="single" w:sz="8" w:space="0" w:color="000000"/>
              <w:start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职能维度</w:t>
            </w:r>
            <w:r>
              <w:rPr>
                <w:rFonts w:cs="宋体" w:ascii="宋体" w:hAnsi="宋体"/>
                <w:b/>
                <w:bCs/>
                <w:color w:val="000000"/>
                <w:kern w:val="0"/>
                <w:sz w:val="22"/>
                <w:szCs w:val="22"/>
              </w:rPr>
              <w:t>/</w:t>
            </w:r>
            <w:r>
              <w:rPr>
                <w:rFonts w:ascii="宋体" w:hAnsi="宋体" w:cs="宋体"/>
                <w:b/>
                <w:bCs/>
                <w:color w:val="000000"/>
                <w:kern w:val="0"/>
                <w:sz w:val="22"/>
                <w:szCs w:val="22"/>
              </w:rPr>
              <w:t>考核项目</w:t>
            </w:r>
          </w:p>
        </w:tc>
        <w:tc>
          <w:tcPr>
            <w:tcW w:w="1240"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指标分类</w:t>
            </w:r>
          </w:p>
        </w:tc>
        <w:tc>
          <w:tcPr>
            <w:tcW w:w="1580"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cs="宋体" w:ascii="宋体" w:hAnsi="宋体"/>
                <w:b/>
                <w:bCs/>
                <w:color w:val="000000"/>
                <w:kern w:val="0"/>
                <w:sz w:val="22"/>
                <w:szCs w:val="22"/>
              </w:rPr>
              <w:t>KPI</w:t>
            </w:r>
            <w:r>
              <w:rPr>
                <w:rFonts w:ascii="宋体" w:hAnsi="宋体" w:cs="宋体"/>
                <w:b/>
                <w:bCs/>
                <w:color w:val="000000"/>
                <w:kern w:val="0"/>
                <w:sz w:val="22"/>
                <w:szCs w:val="22"/>
              </w:rPr>
              <w:t>指标名称</w:t>
            </w:r>
          </w:p>
        </w:tc>
        <w:tc>
          <w:tcPr>
            <w:tcW w:w="4243"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指标计算公式或者定义</w:t>
            </w:r>
          </w:p>
        </w:tc>
        <w:tc>
          <w:tcPr>
            <w:tcW w:w="2268"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说明</w:t>
            </w:r>
          </w:p>
        </w:tc>
        <w:tc>
          <w:tcPr>
            <w:tcW w:w="1240"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指标性质（</w:t>
            </w:r>
            <w:r>
              <w:rPr>
                <w:rFonts w:cs="宋体" w:ascii="宋体" w:hAnsi="宋体"/>
                <w:b/>
                <w:bCs/>
                <w:color w:val="000000"/>
                <w:kern w:val="0"/>
                <w:sz w:val="22"/>
                <w:szCs w:val="22"/>
              </w:rPr>
              <w:t>BSC</w:t>
            </w:r>
            <w:r>
              <w:rPr>
                <w:rFonts w:ascii="宋体" w:hAnsi="宋体" w:cs="宋体"/>
                <w:b/>
                <w:bCs/>
                <w:color w:val="000000"/>
                <w:kern w:val="0"/>
                <w:sz w:val="22"/>
                <w:szCs w:val="22"/>
              </w:rPr>
              <w:t>）</w:t>
            </w:r>
          </w:p>
        </w:tc>
        <w:tc>
          <w:tcPr>
            <w:tcW w:w="745"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考核周期</w:t>
            </w:r>
          </w:p>
        </w:tc>
        <w:tc>
          <w:tcPr>
            <w:tcW w:w="1134" w:type="dxa"/>
            <w:tcBorders>
              <w:top w:val="single" w:sz="8" w:space="0" w:color="000000"/>
              <w:bottom w:val="single" w:sz="4" w:space="0" w:color="000000"/>
              <w:end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数据来源</w:t>
            </w:r>
          </w:p>
        </w:tc>
        <w:tc>
          <w:tcPr>
            <w:tcW w:w="1301" w:type="dxa"/>
            <w:tcBorders>
              <w:top w:val="single" w:sz="8" w:space="0" w:color="000000"/>
              <w:bottom w:val="single" w:sz="4"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适合范围</w:t>
            </w:r>
          </w:p>
        </w:tc>
        <w:tc>
          <w:tcPr>
            <w:tcW w:w="966" w:type="dxa"/>
            <w:tcBorders>
              <w:top w:val="single" w:sz="8" w:space="0" w:color="000000"/>
              <w:start w:val="single" w:sz="4" w:space="0" w:color="000000"/>
              <w:bottom w:val="single" w:sz="4" w:space="0" w:color="000000"/>
              <w:end w:val="single" w:sz="8" w:space="0" w:color="000000"/>
            </w:tcBorders>
            <w:shd w:color="000000" w:fill="DBE5F1"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备注</w:t>
            </w:r>
          </w:p>
        </w:tc>
      </w:tr>
      <w:tr>
        <w:trPr>
          <w:trHeight w:val="600" w:hRule="atLeast"/>
        </w:trPr>
        <w:tc>
          <w:tcPr>
            <w:tcW w:w="1300" w:type="dxa"/>
            <w:vMerge w:val="restart"/>
            <w:tcBorders>
              <w:start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物资保管</w:t>
            </w:r>
            <w:r>
              <w:rPr>
                <w:rFonts w:ascii="宋体" w:hAnsi="宋体" w:cs="宋体"/>
                <w:color w:val="000000"/>
                <w:kern w:val="0"/>
                <w:sz w:val="22"/>
                <w:szCs w:val="22"/>
              </w:rPr>
              <w:t>（主要指物流方面）</w:t>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物流货物及原材料等物资保管</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物资抽检合格率</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物资抽检合格率</w:t>
            </w:r>
            <w:r>
              <w:rPr>
                <w:rFonts w:cs="宋体" w:ascii="宋体" w:hAnsi="宋体"/>
                <w:color w:val="000000"/>
                <w:kern w:val="0"/>
                <w:sz w:val="22"/>
                <w:szCs w:val="22"/>
              </w:rPr>
              <w:t>=</w:t>
            </w:r>
            <w:r>
              <w:rPr>
                <w:rFonts w:ascii="宋体" w:hAnsi="宋体" w:cs="宋体"/>
                <w:color w:val="000000"/>
                <w:kern w:val="0"/>
                <w:sz w:val="22"/>
                <w:szCs w:val="22"/>
              </w:rPr>
              <w:t>（抽样的合格次数</w:t>
            </w:r>
            <w:r>
              <w:rPr>
                <w:rFonts w:cs="宋体" w:ascii="宋体" w:hAnsi="宋体"/>
                <w:color w:val="000000"/>
                <w:kern w:val="0"/>
                <w:sz w:val="22"/>
                <w:szCs w:val="22"/>
              </w:rPr>
              <w:t>÷</w:t>
            </w:r>
            <w:r>
              <w:rPr>
                <w:rFonts w:ascii="宋体" w:hAnsi="宋体" w:cs="宋体"/>
                <w:color w:val="000000"/>
                <w:kern w:val="0"/>
                <w:sz w:val="22"/>
                <w:szCs w:val="22"/>
              </w:rPr>
              <w:t>抽样的总次数）</w:t>
            </w:r>
            <w:r>
              <w:rPr>
                <w:rFonts w:cs="宋体" w:ascii="宋体" w:hAnsi="宋体"/>
                <w:color w:val="000000"/>
                <w:kern w:val="0"/>
                <w:sz w:val="22"/>
                <w:szCs w:val="22"/>
              </w:rPr>
              <w:t>×100%</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85"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物资保管合规性（指物流操作）</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检查时发现不良项，一项扣</w:t>
            </w:r>
            <w:r>
              <w:rPr>
                <w:rFonts w:cs="宋体" w:ascii="宋体" w:hAnsi="宋体"/>
                <w:color w:val="000000"/>
                <w:kern w:val="0"/>
                <w:sz w:val="22"/>
                <w:szCs w:val="22"/>
              </w:rPr>
              <w:t>1</w:t>
            </w:r>
            <w:r>
              <w:rPr>
                <w:rFonts w:ascii="宋体" w:hAnsi="宋体" w:cs="宋体"/>
                <w:color w:val="000000"/>
                <w:kern w:val="0"/>
                <w:sz w:val="22"/>
                <w:szCs w:val="22"/>
              </w:rPr>
              <w:t>分，最多扣</w:t>
            </w:r>
            <w:r>
              <w:rPr>
                <w:rFonts w:cs="宋体" w:ascii="宋体" w:hAnsi="宋体"/>
                <w:color w:val="000000"/>
                <w:kern w:val="0"/>
                <w:sz w:val="22"/>
                <w:szCs w:val="22"/>
              </w:rPr>
              <w:t>10</w:t>
            </w:r>
            <w:r>
              <w:rPr>
                <w:rFonts w:ascii="宋体" w:hAnsi="宋体" w:cs="宋体"/>
                <w:color w:val="000000"/>
                <w:kern w:val="0"/>
                <w:sz w:val="22"/>
                <w:szCs w:val="22"/>
              </w:rPr>
              <w:t>分（合规性是指符合公司《仓储物流管理制度》，以领导抽查结果为准）</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7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物资盘点准确率</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盘点物资账物准确率</w:t>
            </w:r>
            <w:r>
              <w:rPr>
                <w:rFonts w:cs="宋体" w:ascii="宋体" w:hAnsi="宋体"/>
                <w:color w:val="000000"/>
                <w:kern w:val="0"/>
                <w:sz w:val="22"/>
                <w:szCs w:val="22"/>
              </w:rPr>
              <w:t>=</w:t>
            </w:r>
            <w:r>
              <w:rPr>
                <w:rFonts w:ascii="宋体" w:hAnsi="宋体" w:cs="宋体"/>
                <w:color w:val="000000"/>
                <w:kern w:val="0"/>
                <w:sz w:val="22"/>
                <w:szCs w:val="22"/>
              </w:rPr>
              <w:t>准确的物资账物数</w:t>
            </w:r>
            <w:r>
              <w:rPr>
                <w:rFonts w:cs="宋体" w:ascii="宋体" w:hAnsi="宋体"/>
                <w:color w:val="000000"/>
                <w:kern w:val="0"/>
                <w:sz w:val="22"/>
                <w:szCs w:val="22"/>
              </w:rPr>
              <w:t>÷</w:t>
            </w:r>
            <w:r>
              <w:rPr>
                <w:rFonts w:ascii="宋体" w:hAnsi="宋体" w:cs="宋体"/>
                <w:color w:val="000000"/>
                <w:kern w:val="0"/>
                <w:sz w:val="22"/>
                <w:szCs w:val="22"/>
              </w:rPr>
              <w:t>盘点的物资账物数</w:t>
            </w:r>
            <w:r>
              <w:rPr>
                <w:rFonts w:cs="宋体" w:ascii="宋体" w:hAnsi="宋体"/>
                <w:color w:val="000000"/>
                <w:kern w:val="0"/>
                <w:sz w:val="22"/>
                <w:szCs w:val="22"/>
              </w:rPr>
              <w:t>×100</w:t>
            </w:r>
            <w:r>
              <w:rPr>
                <w:rFonts w:ascii="宋体" w:hAnsi="宋体" w:cs="宋体"/>
                <w:color w:val="000000"/>
                <w:kern w:val="0"/>
                <w:sz w:val="22"/>
                <w:szCs w:val="22"/>
              </w:rPr>
              <w:t>％（根据不同物资分类拟定不同的标准）</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物流部、财务部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300" w:type="dxa"/>
            <w:vMerge w:val="continue"/>
            <w:tcBorders>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物资损耗率</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物资损耗率</w:t>
            </w:r>
            <w:r>
              <w:rPr>
                <w:rFonts w:cs="宋体" w:ascii="宋体" w:hAnsi="宋体"/>
                <w:color w:val="000000"/>
                <w:kern w:val="0"/>
                <w:sz w:val="22"/>
                <w:szCs w:val="22"/>
              </w:rPr>
              <w:t>=</w:t>
            </w:r>
            <w:r>
              <w:rPr>
                <w:rFonts w:ascii="宋体" w:hAnsi="宋体" w:cs="宋体"/>
                <w:color w:val="000000"/>
                <w:kern w:val="0"/>
                <w:sz w:val="22"/>
                <w:szCs w:val="22"/>
              </w:rPr>
              <w:t>物资损耗量</w:t>
            </w:r>
            <w:r>
              <w:rPr>
                <w:rFonts w:cs="宋体" w:ascii="宋体" w:hAnsi="宋体"/>
                <w:color w:val="000000"/>
                <w:kern w:val="0"/>
                <w:sz w:val="22"/>
                <w:szCs w:val="22"/>
              </w:rPr>
              <w:t>÷</w:t>
            </w:r>
            <w:r>
              <w:rPr>
                <w:rFonts w:ascii="宋体" w:hAnsi="宋体" w:cs="宋体"/>
                <w:color w:val="000000"/>
                <w:kern w:val="0"/>
                <w:sz w:val="22"/>
                <w:szCs w:val="22"/>
              </w:rPr>
              <w:t>物资总量</w:t>
            </w:r>
            <w:r>
              <w:rPr>
                <w:rFonts w:cs="宋体" w:ascii="宋体" w:hAnsi="宋体"/>
                <w:color w:val="000000"/>
                <w:kern w:val="0"/>
                <w:sz w:val="22"/>
                <w:szCs w:val="22"/>
              </w:rPr>
              <w:t>×100%</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w:t>
            </w:r>
            <w:r>
              <w:rPr>
                <w:rFonts w:cs="宋体" w:ascii="宋体" w:hAnsi="宋体"/>
                <w:color w:val="000000"/>
                <w:kern w:val="0"/>
                <w:sz w:val="20"/>
                <w:szCs w:val="20"/>
              </w:rPr>
              <w:t>/</w:t>
            </w:r>
            <w:r>
              <w:rPr>
                <w:rFonts w:ascii="宋体" w:hAnsi="宋体" w:cs="宋体"/>
                <w:color w:val="000000"/>
                <w:kern w:val="0"/>
                <w:sz w:val="20"/>
                <w:szCs w:val="20"/>
              </w:rPr>
              <w:t>质量管理部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65" w:hRule="atLeast"/>
        </w:trPr>
        <w:tc>
          <w:tcPr>
            <w:tcW w:w="1300" w:type="dxa"/>
            <w:vMerge w:val="restart"/>
            <w:tcBorders>
              <w:top w:val="single" w:sz="4" w:space="0" w:color="000000"/>
              <w:start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运输打包</w:t>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运输打包工作完成情况</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货物日均出入库量完成率</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货物日均出入库量完成率</w:t>
            </w:r>
            <w:r>
              <w:rPr>
                <w:rFonts w:cs="宋体" w:ascii="宋体" w:hAnsi="宋体"/>
                <w:color w:val="000000"/>
                <w:kern w:val="0"/>
                <w:sz w:val="22"/>
                <w:szCs w:val="22"/>
              </w:rPr>
              <w:t>=</w:t>
            </w:r>
            <w:r>
              <w:rPr>
                <w:rFonts w:ascii="宋体" w:hAnsi="宋体" w:cs="宋体"/>
                <w:color w:val="000000"/>
                <w:kern w:val="0"/>
                <w:sz w:val="22"/>
                <w:szCs w:val="22"/>
              </w:rPr>
              <w:t>（实际出入库量</w:t>
            </w:r>
            <w:r>
              <w:rPr>
                <w:rFonts w:cs="宋体" w:ascii="宋体" w:hAnsi="宋体"/>
                <w:color w:val="000000"/>
                <w:kern w:val="0"/>
                <w:sz w:val="22"/>
                <w:szCs w:val="22"/>
              </w:rPr>
              <w:t>÷</w:t>
            </w:r>
            <w:r>
              <w:rPr>
                <w:rFonts w:ascii="宋体" w:hAnsi="宋体" w:cs="宋体"/>
                <w:color w:val="000000"/>
                <w:kern w:val="0"/>
                <w:sz w:val="22"/>
                <w:szCs w:val="22"/>
              </w:rPr>
              <w:t>生产量）</w:t>
            </w:r>
            <w:r>
              <w:rPr>
                <w:rFonts w:cs="宋体" w:ascii="宋体" w:hAnsi="宋体"/>
                <w:color w:val="000000"/>
                <w:kern w:val="0"/>
                <w:sz w:val="22"/>
                <w:szCs w:val="22"/>
              </w:rPr>
              <w:t>×100%</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物流部、仓储部、财务部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运输打包人员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065" w:hRule="atLeast"/>
        </w:trPr>
        <w:tc>
          <w:tcPr>
            <w:tcW w:w="1300" w:type="dxa"/>
            <w:vMerge w:val="continue"/>
            <w:tcBorders>
              <w:top w:val="single" w:sz="4" w:space="0" w:color="000000"/>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打包的及时性</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出现一次不及时扣</w:t>
            </w:r>
            <w:r>
              <w:rPr>
                <w:rFonts w:cs="宋体" w:ascii="宋体" w:hAnsi="宋体"/>
                <w:color w:val="000000"/>
                <w:kern w:val="0"/>
                <w:sz w:val="22"/>
                <w:szCs w:val="22"/>
              </w:rPr>
              <w:t>2</w:t>
            </w:r>
            <w:r>
              <w:rPr>
                <w:rFonts w:ascii="宋体" w:hAnsi="宋体" w:cs="宋体"/>
                <w:color w:val="000000"/>
                <w:kern w:val="0"/>
                <w:sz w:val="22"/>
                <w:szCs w:val="22"/>
              </w:rPr>
              <w:t>分，扣完为止。（不及时是指没有按照时间要求及时打包而耽误后面的货物装卸或者货物运输工作）</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运输打包人员</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65" w:hRule="atLeast"/>
        </w:trPr>
        <w:tc>
          <w:tcPr>
            <w:tcW w:w="1300" w:type="dxa"/>
            <w:vMerge w:val="continue"/>
            <w:tcBorders>
              <w:top w:val="single" w:sz="4" w:space="0" w:color="000000"/>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打包的规范性</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出现一次合格扣</w:t>
            </w:r>
            <w:r>
              <w:rPr>
                <w:rFonts w:cs="宋体" w:ascii="宋体" w:hAnsi="宋体"/>
                <w:color w:val="000000"/>
                <w:kern w:val="0"/>
                <w:sz w:val="22"/>
                <w:szCs w:val="22"/>
              </w:rPr>
              <w:t>2</w:t>
            </w:r>
            <w:r>
              <w:rPr>
                <w:rFonts w:ascii="宋体" w:hAnsi="宋体" w:cs="宋体"/>
                <w:color w:val="000000"/>
                <w:kern w:val="0"/>
                <w:sz w:val="22"/>
                <w:szCs w:val="22"/>
              </w:rPr>
              <w:t>分，扣完为止。（规范性是指按照货物运输管理要求进行打包）</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运输打包人员</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380" w:hRule="atLeast"/>
        </w:trPr>
        <w:tc>
          <w:tcPr>
            <w:tcW w:w="1300" w:type="dxa"/>
            <w:vMerge w:val="continue"/>
            <w:tcBorders>
              <w:top w:val="single" w:sz="4" w:space="0" w:color="000000"/>
              <w:start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运输打包成本控制</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单位货物打包费用控制率</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单位货物打包成本费用控制率</w:t>
            </w:r>
            <w:r>
              <w:rPr>
                <w:rFonts w:cs="宋体" w:ascii="宋体" w:hAnsi="宋体"/>
                <w:color w:val="000000"/>
                <w:kern w:val="0"/>
                <w:sz w:val="22"/>
                <w:szCs w:val="22"/>
              </w:rPr>
              <w:t>=</w:t>
            </w:r>
            <w:r>
              <w:rPr>
                <w:rFonts w:ascii="宋体" w:hAnsi="宋体" w:cs="宋体"/>
                <w:color w:val="000000"/>
                <w:kern w:val="0"/>
                <w:sz w:val="22"/>
                <w:szCs w:val="22"/>
              </w:rPr>
              <w:t>（实际单位打包成本费用</w:t>
            </w:r>
            <w:r>
              <w:rPr>
                <w:rFonts w:cs="宋体" w:ascii="宋体" w:hAnsi="宋体"/>
                <w:color w:val="000000"/>
                <w:kern w:val="0"/>
                <w:sz w:val="22"/>
                <w:szCs w:val="22"/>
              </w:rPr>
              <w:t>÷</w:t>
            </w:r>
            <w:r>
              <w:rPr>
                <w:rFonts w:ascii="宋体" w:hAnsi="宋体" w:cs="宋体"/>
                <w:color w:val="000000"/>
                <w:kern w:val="0"/>
                <w:sz w:val="22"/>
                <w:szCs w:val="22"/>
              </w:rPr>
              <w:t>计划单位货物打包成本费用）</w:t>
            </w:r>
            <w:r>
              <w:rPr>
                <w:rFonts w:cs="宋体" w:ascii="宋体" w:hAnsi="宋体"/>
                <w:color w:val="000000"/>
                <w:kern w:val="0"/>
                <w:sz w:val="22"/>
                <w:szCs w:val="22"/>
              </w:rPr>
              <w:t>×100%</w:t>
            </w:r>
            <w:r>
              <w:rPr>
                <w:rFonts w:ascii="宋体" w:hAnsi="宋体" w:cs="宋体"/>
                <w:color w:val="000000"/>
                <w:kern w:val="0"/>
                <w:sz w:val="22"/>
                <w:szCs w:val="22"/>
              </w:rPr>
              <w:t>，打包成本费用主要指包装材料消耗费用、因包装造成货物耗损费用、人工费以及加班费等。</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运输打包人员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75" w:hRule="atLeast"/>
        </w:trPr>
        <w:tc>
          <w:tcPr>
            <w:tcW w:w="1300" w:type="dxa"/>
            <w:vMerge w:val="restart"/>
            <w:tcBorders>
              <w:top w:val="single" w:sz="4" w:space="0" w:color="000000"/>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货物装卸</w:t>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货物装卸工作完成情况</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装卸计划完成率</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装卸计划完成率</w:t>
            </w:r>
            <w:r>
              <w:rPr>
                <w:rFonts w:cs="宋体" w:ascii="宋体" w:hAnsi="宋体"/>
                <w:color w:val="000000"/>
                <w:kern w:val="0"/>
                <w:sz w:val="22"/>
                <w:szCs w:val="22"/>
              </w:rPr>
              <w:t>=</w:t>
            </w:r>
            <w:r>
              <w:rPr>
                <w:rFonts w:ascii="宋体" w:hAnsi="宋体" w:cs="宋体"/>
                <w:color w:val="000000"/>
                <w:kern w:val="0"/>
                <w:sz w:val="22"/>
                <w:szCs w:val="22"/>
              </w:rPr>
              <w:t>实际完成的装卸量</w:t>
            </w:r>
            <w:r>
              <w:rPr>
                <w:rFonts w:cs="宋体" w:ascii="宋体" w:hAnsi="宋体"/>
                <w:color w:val="000000"/>
                <w:kern w:val="0"/>
                <w:sz w:val="22"/>
                <w:szCs w:val="22"/>
              </w:rPr>
              <w:t>÷</w:t>
            </w:r>
            <w:r>
              <w:rPr>
                <w:rFonts w:ascii="宋体" w:hAnsi="宋体" w:cs="宋体"/>
                <w:color w:val="000000"/>
                <w:kern w:val="0"/>
                <w:sz w:val="22"/>
                <w:szCs w:val="22"/>
              </w:rPr>
              <w:t>计划装卸量</w:t>
            </w:r>
            <w:r>
              <w:rPr>
                <w:rFonts w:cs="宋体" w:ascii="宋体" w:hAnsi="宋体"/>
                <w:color w:val="000000"/>
                <w:kern w:val="0"/>
                <w:sz w:val="22"/>
                <w:szCs w:val="22"/>
              </w:rPr>
              <w:t>×100%</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装卸作业人员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15"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装卸的及时性</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出现一次不及时扣</w:t>
            </w:r>
            <w:r>
              <w:rPr>
                <w:rFonts w:cs="宋体" w:ascii="宋体" w:hAnsi="宋体"/>
                <w:color w:val="000000"/>
                <w:kern w:val="0"/>
                <w:sz w:val="22"/>
                <w:szCs w:val="22"/>
              </w:rPr>
              <w:t>1</w:t>
            </w:r>
            <w:r>
              <w:rPr>
                <w:rFonts w:ascii="宋体" w:hAnsi="宋体" w:cs="宋体"/>
                <w:color w:val="000000"/>
                <w:kern w:val="0"/>
                <w:sz w:val="22"/>
                <w:szCs w:val="22"/>
              </w:rPr>
              <w:t>分，扣完为止。及时是指按照相关部门下达的发货计划量、发货时间要求完成相应的装卸工作。</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装卸作业人员</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60"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装卸的准确性</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出现一次不准确扣</w:t>
            </w:r>
            <w:r>
              <w:rPr>
                <w:rFonts w:cs="宋体" w:ascii="宋体" w:hAnsi="宋体"/>
                <w:color w:val="000000"/>
                <w:kern w:val="0"/>
                <w:sz w:val="22"/>
                <w:szCs w:val="22"/>
              </w:rPr>
              <w:t>2</w:t>
            </w:r>
            <w:r>
              <w:rPr>
                <w:rFonts w:ascii="宋体" w:hAnsi="宋体" w:cs="宋体"/>
                <w:color w:val="000000"/>
                <w:kern w:val="0"/>
                <w:sz w:val="22"/>
                <w:szCs w:val="22"/>
              </w:rPr>
              <w:t>分，扣完为止。（准确是指所装卸物料的品种、规格、数量完全符合发货单的要求）</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装卸作业人员</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35"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装卸作业破损率</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装卸作业破损率</w:t>
            </w:r>
            <w:r>
              <w:rPr>
                <w:rFonts w:cs="宋体" w:ascii="宋体" w:hAnsi="宋体"/>
                <w:color w:val="000000"/>
                <w:kern w:val="0"/>
                <w:sz w:val="22"/>
                <w:szCs w:val="22"/>
              </w:rPr>
              <w:t>=</w:t>
            </w:r>
            <w:r>
              <w:rPr>
                <w:rFonts w:ascii="宋体" w:hAnsi="宋体" w:cs="宋体"/>
                <w:color w:val="000000"/>
                <w:kern w:val="0"/>
                <w:sz w:val="22"/>
                <w:szCs w:val="22"/>
              </w:rPr>
              <w:t>（装卸过程中人为原因造成的破损数量</w:t>
            </w:r>
            <w:r>
              <w:rPr>
                <w:rFonts w:cs="宋体" w:ascii="宋体" w:hAnsi="宋体"/>
                <w:color w:val="000000"/>
                <w:kern w:val="0"/>
                <w:sz w:val="22"/>
                <w:szCs w:val="22"/>
              </w:rPr>
              <w:t>÷</w:t>
            </w:r>
            <w:r>
              <w:rPr>
                <w:rFonts w:ascii="宋体" w:hAnsi="宋体" w:cs="宋体"/>
                <w:color w:val="000000"/>
                <w:kern w:val="0"/>
                <w:sz w:val="22"/>
                <w:szCs w:val="22"/>
              </w:rPr>
              <w:t>装卸作业总量）</w:t>
            </w:r>
            <w:r>
              <w:rPr>
                <w:rFonts w:cs="宋体" w:ascii="宋体" w:hAnsi="宋体"/>
                <w:color w:val="000000"/>
                <w:kern w:val="0"/>
                <w:sz w:val="22"/>
                <w:szCs w:val="22"/>
              </w:rPr>
              <w:t>×100%</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w:t>
            </w:r>
            <w:r>
              <w:rPr>
                <w:rFonts w:cs="宋体" w:ascii="宋体" w:hAnsi="宋体"/>
                <w:color w:val="000000"/>
                <w:kern w:val="0"/>
                <w:sz w:val="20"/>
                <w:szCs w:val="20"/>
              </w:rPr>
              <w:t>/</w:t>
            </w:r>
            <w:r>
              <w:rPr>
                <w:rFonts w:ascii="宋体" w:hAnsi="宋体" w:cs="宋体"/>
                <w:color w:val="000000"/>
                <w:kern w:val="0"/>
                <w:sz w:val="20"/>
                <w:szCs w:val="20"/>
              </w:rPr>
              <w:t>质量管理部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装卸作业人员</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185" w:hRule="atLeast"/>
        </w:trPr>
        <w:tc>
          <w:tcPr>
            <w:tcW w:w="1300" w:type="dxa"/>
            <w:vMerge w:val="continue"/>
            <w:tcBorders>
              <w:top w:val="single" w:sz="4" w:space="0" w:color="000000"/>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货物装卸成本控制</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单位货物装卸费用控制率</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单位装卸费用控制率</w:t>
            </w:r>
            <w:r>
              <w:rPr>
                <w:rFonts w:cs="宋体" w:ascii="宋体" w:hAnsi="宋体"/>
                <w:color w:val="000000"/>
                <w:kern w:val="0"/>
                <w:sz w:val="22"/>
                <w:szCs w:val="22"/>
              </w:rPr>
              <w:t>=</w:t>
            </w:r>
            <w:r>
              <w:rPr>
                <w:rFonts w:ascii="宋体" w:hAnsi="宋体" w:cs="宋体"/>
                <w:color w:val="000000"/>
                <w:kern w:val="0"/>
                <w:sz w:val="22"/>
                <w:szCs w:val="22"/>
              </w:rPr>
              <w:t>（实际单位货物装卸成本</w:t>
            </w:r>
            <w:r>
              <w:rPr>
                <w:rFonts w:cs="宋体" w:ascii="宋体" w:hAnsi="宋体"/>
                <w:color w:val="000000"/>
                <w:kern w:val="0"/>
                <w:sz w:val="22"/>
                <w:szCs w:val="22"/>
              </w:rPr>
              <w:t>÷</w:t>
            </w:r>
            <w:r>
              <w:rPr>
                <w:rFonts w:ascii="宋体" w:hAnsi="宋体" w:cs="宋体"/>
                <w:color w:val="000000"/>
                <w:kern w:val="0"/>
                <w:sz w:val="22"/>
                <w:szCs w:val="22"/>
              </w:rPr>
              <w:t>计划单位货物装卸成本）</w:t>
            </w:r>
            <w:r>
              <w:rPr>
                <w:rFonts w:cs="宋体" w:ascii="宋体" w:hAnsi="宋体"/>
                <w:color w:val="000000"/>
                <w:kern w:val="0"/>
                <w:sz w:val="22"/>
                <w:szCs w:val="22"/>
              </w:rPr>
              <w:t>×100%</w:t>
            </w:r>
            <w:r>
              <w:rPr>
                <w:rFonts w:ascii="宋体" w:hAnsi="宋体" w:cs="宋体"/>
                <w:color w:val="000000"/>
                <w:kern w:val="0"/>
                <w:sz w:val="22"/>
                <w:szCs w:val="22"/>
              </w:rPr>
              <w:t>，运输费用主要指设备损耗、货物损耗、人工费以及加班费等。</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装卸作业人员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215" w:hRule="atLeast"/>
        </w:trPr>
        <w:tc>
          <w:tcPr>
            <w:tcW w:w="1300"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叉车作业</w:t>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叉车作业工作完成情况</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单位工时作业量完成率</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单位工时作业量完成率</w:t>
            </w:r>
            <w:r>
              <w:rPr>
                <w:rFonts w:cs="宋体" w:ascii="宋体" w:hAnsi="宋体"/>
                <w:color w:val="000000"/>
                <w:kern w:val="0"/>
                <w:sz w:val="22"/>
                <w:szCs w:val="22"/>
              </w:rPr>
              <w:t>=</w:t>
            </w:r>
            <w:r>
              <w:rPr>
                <w:rFonts w:ascii="宋体" w:hAnsi="宋体" w:cs="宋体"/>
                <w:color w:val="000000"/>
                <w:kern w:val="0"/>
                <w:sz w:val="22"/>
                <w:szCs w:val="22"/>
              </w:rPr>
              <w:t>（实际单位工时作业量</w:t>
            </w:r>
            <w:r>
              <w:rPr>
                <w:rFonts w:cs="宋体" w:ascii="宋体" w:hAnsi="宋体"/>
                <w:color w:val="000000"/>
                <w:kern w:val="0"/>
                <w:sz w:val="22"/>
                <w:szCs w:val="22"/>
              </w:rPr>
              <w:t>÷</w:t>
            </w:r>
            <w:r>
              <w:rPr>
                <w:rFonts w:ascii="宋体" w:hAnsi="宋体" w:cs="宋体"/>
                <w:color w:val="000000"/>
                <w:kern w:val="0"/>
                <w:sz w:val="22"/>
                <w:szCs w:val="22"/>
              </w:rPr>
              <w:t>计划单位工时作业量）</w:t>
            </w:r>
            <w:r>
              <w:rPr>
                <w:rFonts w:cs="宋体" w:ascii="宋体" w:hAnsi="宋体"/>
                <w:color w:val="000000"/>
                <w:kern w:val="0"/>
                <w:sz w:val="22"/>
                <w:szCs w:val="22"/>
              </w:rPr>
              <w:t>× 100%</w:t>
              <w:br/>
            </w:r>
            <w:r>
              <w:rPr>
                <w:rFonts w:ascii="宋体" w:hAnsi="宋体" w:cs="宋体"/>
                <w:color w:val="000000"/>
                <w:kern w:val="0"/>
                <w:sz w:val="22"/>
                <w:szCs w:val="22"/>
              </w:rPr>
              <w:t>单位工时作业量（吨</w:t>
            </w:r>
            <w:r>
              <w:rPr>
                <w:rFonts w:cs="宋体" w:ascii="宋体" w:hAnsi="宋体"/>
                <w:color w:val="000000"/>
                <w:kern w:val="0"/>
                <w:sz w:val="22"/>
                <w:szCs w:val="22"/>
              </w:rPr>
              <w:t>/</w:t>
            </w:r>
            <w:r>
              <w:rPr>
                <w:rFonts w:ascii="宋体" w:hAnsi="宋体" w:cs="宋体"/>
                <w:color w:val="000000"/>
                <w:kern w:val="0"/>
                <w:sz w:val="22"/>
                <w:szCs w:val="22"/>
              </w:rPr>
              <w:t>工时）</w:t>
            </w:r>
            <w:r>
              <w:rPr>
                <w:rFonts w:cs="宋体" w:ascii="宋体" w:hAnsi="宋体"/>
                <w:color w:val="000000"/>
                <w:kern w:val="0"/>
                <w:sz w:val="22"/>
                <w:szCs w:val="22"/>
              </w:rPr>
              <w:t>=</w:t>
            </w:r>
            <w:r>
              <w:rPr>
                <w:rFonts w:ascii="宋体" w:hAnsi="宋体" w:cs="宋体"/>
                <w:color w:val="000000"/>
                <w:kern w:val="0"/>
                <w:sz w:val="22"/>
                <w:szCs w:val="22"/>
              </w:rPr>
              <w:t>货物作业量</w:t>
            </w:r>
            <w:r>
              <w:rPr>
                <w:rFonts w:cs="宋体" w:ascii="宋体" w:hAnsi="宋体"/>
                <w:color w:val="000000"/>
                <w:kern w:val="0"/>
                <w:sz w:val="22"/>
                <w:szCs w:val="22"/>
              </w:rPr>
              <w:t>÷</w:t>
            </w:r>
            <w:r>
              <w:rPr>
                <w:rFonts w:ascii="宋体" w:hAnsi="宋体" w:cs="宋体"/>
                <w:color w:val="000000"/>
                <w:kern w:val="0"/>
                <w:sz w:val="22"/>
                <w:szCs w:val="22"/>
              </w:rPr>
              <w:t>作业人员总工时</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叉车作业人员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05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作业的及时性</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出现一次不及时扣</w:t>
            </w:r>
            <w:r>
              <w:rPr>
                <w:rFonts w:cs="宋体" w:ascii="宋体" w:hAnsi="宋体"/>
                <w:color w:val="000000"/>
                <w:kern w:val="0"/>
                <w:sz w:val="22"/>
                <w:szCs w:val="22"/>
              </w:rPr>
              <w:t>2</w:t>
            </w:r>
            <w:r>
              <w:rPr>
                <w:rFonts w:ascii="宋体" w:hAnsi="宋体" w:cs="宋体"/>
                <w:color w:val="000000"/>
                <w:kern w:val="0"/>
                <w:sz w:val="22"/>
                <w:szCs w:val="22"/>
              </w:rPr>
              <w:t>分，扣完为止。及时是指按照相关部门下达的货物运输计划量、进货时间要求或者发货时间要求完成相应的叉车作业工作。</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叉车作业人员</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03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作业的规范性</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出现一次不准确扣</w:t>
            </w:r>
            <w:r>
              <w:rPr>
                <w:rFonts w:cs="宋体" w:ascii="宋体" w:hAnsi="宋体"/>
                <w:color w:val="000000"/>
                <w:kern w:val="0"/>
                <w:sz w:val="22"/>
                <w:szCs w:val="22"/>
              </w:rPr>
              <w:t>5</w:t>
            </w:r>
            <w:r>
              <w:rPr>
                <w:rFonts w:ascii="宋体" w:hAnsi="宋体" w:cs="宋体"/>
                <w:color w:val="000000"/>
                <w:kern w:val="0"/>
                <w:sz w:val="22"/>
                <w:szCs w:val="22"/>
              </w:rPr>
              <w:t>分，扣完为止。（准确是指所运输物资的品种、规格、数量以及目的地到达等完全符合运货单的要求）</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叉车作业人员</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1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作业破损率</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运输作业破损率</w:t>
            </w:r>
            <w:r>
              <w:rPr>
                <w:rFonts w:cs="宋体" w:ascii="宋体" w:hAnsi="宋体"/>
                <w:color w:val="000000"/>
                <w:kern w:val="0"/>
                <w:sz w:val="22"/>
                <w:szCs w:val="22"/>
              </w:rPr>
              <w:t>=</w:t>
            </w:r>
            <w:r>
              <w:rPr>
                <w:rFonts w:ascii="宋体" w:hAnsi="宋体" w:cs="宋体"/>
                <w:color w:val="000000"/>
                <w:kern w:val="0"/>
                <w:sz w:val="22"/>
                <w:szCs w:val="22"/>
              </w:rPr>
              <w:t>（叉车作业过程中人为原因造成的破损数量</w:t>
            </w:r>
            <w:r>
              <w:rPr>
                <w:rFonts w:cs="宋体" w:ascii="宋体" w:hAnsi="宋体"/>
                <w:color w:val="000000"/>
                <w:kern w:val="0"/>
                <w:sz w:val="22"/>
                <w:szCs w:val="22"/>
              </w:rPr>
              <w:t>÷</w:t>
            </w:r>
            <w:r>
              <w:rPr>
                <w:rFonts w:ascii="宋体" w:hAnsi="宋体" w:cs="宋体"/>
                <w:color w:val="000000"/>
                <w:kern w:val="0"/>
                <w:sz w:val="22"/>
                <w:szCs w:val="22"/>
              </w:rPr>
              <w:t>叉车作业总量）</w:t>
            </w:r>
            <w:r>
              <w:rPr>
                <w:rFonts w:cs="宋体" w:ascii="宋体" w:hAnsi="宋体"/>
                <w:color w:val="000000"/>
                <w:kern w:val="0"/>
                <w:sz w:val="22"/>
                <w:szCs w:val="22"/>
              </w:rPr>
              <w:t>×100%</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w:t>
            </w:r>
            <w:r>
              <w:rPr>
                <w:rFonts w:cs="宋体" w:ascii="宋体" w:hAnsi="宋体"/>
                <w:color w:val="000000"/>
                <w:kern w:val="0"/>
                <w:sz w:val="20"/>
                <w:szCs w:val="20"/>
              </w:rPr>
              <w:t>/</w:t>
            </w:r>
            <w:r>
              <w:rPr>
                <w:rFonts w:ascii="宋体" w:hAnsi="宋体" w:cs="宋体"/>
                <w:color w:val="000000"/>
                <w:kern w:val="0"/>
                <w:sz w:val="20"/>
                <w:szCs w:val="20"/>
              </w:rPr>
              <w:t>质量管理部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叉车作业人员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23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叉车维护与管理</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车辆、设备维护与管理</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定期对设备进行维护、保养、保洁；并建立设备档案、做好各项检查记录，不得因为设备故障，影响正常的运输作业。影响一次扣</w:t>
            </w:r>
            <w:r>
              <w:rPr>
                <w:rFonts w:cs="宋体" w:ascii="宋体" w:hAnsi="宋体"/>
                <w:color w:val="000000"/>
                <w:kern w:val="0"/>
                <w:sz w:val="22"/>
                <w:szCs w:val="22"/>
              </w:rPr>
              <w:t>5</w:t>
            </w:r>
            <w:r>
              <w:rPr>
                <w:rFonts w:ascii="宋体" w:hAnsi="宋体" w:cs="宋体"/>
                <w:color w:val="000000"/>
                <w:kern w:val="0"/>
                <w:sz w:val="22"/>
                <w:szCs w:val="22"/>
              </w:rPr>
              <w:t>分，最多扣</w:t>
            </w:r>
            <w:r>
              <w:rPr>
                <w:rFonts w:cs="宋体" w:ascii="宋体" w:hAnsi="宋体"/>
                <w:color w:val="000000"/>
                <w:kern w:val="0"/>
                <w:sz w:val="22"/>
                <w:szCs w:val="22"/>
              </w:rPr>
              <w:t>20</w:t>
            </w:r>
            <w:r>
              <w:rPr>
                <w:rFonts w:ascii="宋体" w:hAnsi="宋体" w:cs="宋体"/>
                <w:color w:val="000000"/>
                <w:kern w:val="0"/>
                <w:sz w:val="22"/>
                <w:szCs w:val="22"/>
              </w:rPr>
              <w:t>分。</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叉车作业人员</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14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叉车作业成本控制</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单位货物转运费用控制率</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单位转运费用控制率</w:t>
            </w:r>
            <w:r>
              <w:rPr>
                <w:rFonts w:cs="宋体" w:ascii="宋体" w:hAnsi="宋体"/>
                <w:color w:val="000000"/>
                <w:kern w:val="0"/>
                <w:sz w:val="22"/>
                <w:szCs w:val="22"/>
              </w:rPr>
              <w:t>=</w:t>
            </w:r>
            <w:r>
              <w:rPr>
                <w:rFonts w:ascii="宋体" w:hAnsi="宋体" w:cs="宋体"/>
                <w:color w:val="000000"/>
                <w:kern w:val="0"/>
                <w:sz w:val="22"/>
                <w:szCs w:val="22"/>
              </w:rPr>
              <w:t>（实际单位货物转运成本</w:t>
            </w:r>
            <w:r>
              <w:rPr>
                <w:rFonts w:cs="宋体" w:ascii="宋体" w:hAnsi="宋体"/>
                <w:color w:val="000000"/>
                <w:kern w:val="0"/>
                <w:sz w:val="22"/>
                <w:szCs w:val="22"/>
              </w:rPr>
              <w:t>÷</w:t>
            </w:r>
            <w:r>
              <w:rPr>
                <w:rFonts w:ascii="宋体" w:hAnsi="宋体" w:cs="宋体"/>
                <w:color w:val="000000"/>
                <w:kern w:val="0"/>
                <w:sz w:val="22"/>
                <w:szCs w:val="22"/>
              </w:rPr>
              <w:t>计划单位货物转运成本）</w:t>
            </w:r>
            <w:r>
              <w:rPr>
                <w:rFonts w:cs="宋体" w:ascii="宋体" w:hAnsi="宋体"/>
                <w:color w:val="000000"/>
                <w:kern w:val="0"/>
                <w:sz w:val="22"/>
                <w:szCs w:val="22"/>
              </w:rPr>
              <w:t>×100%</w:t>
            </w:r>
            <w:r>
              <w:rPr>
                <w:rFonts w:ascii="宋体" w:hAnsi="宋体" w:cs="宋体"/>
                <w:color w:val="000000"/>
                <w:kern w:val="0"/>
                <w:sz w:val="22"/>
                <w:szCs w:val="22"/>
              </w:rPr>
              <w:t>，运输费用主要指物料消耗、车辆修理费、燃油费（或者耗电费用）、人工费以及加班费等。</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叉车作业人员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75" w:hRule="atLeast"/>
        </w:trPr>
        <w:tc>
          <w:tcPr>
            <w:tcW w:w="1300"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货物运输</w:t>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货物运输完成情况</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运输计划完成率</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运输计划完成率</w:t>
            </w:r>
            <w:r>
              <w:rPr>
                <w:rFonts w:cs="宋体" w:ascii="宋体" w:hAnsi="宋体"/>
                <w:color w:val="000000"/>
                <w:kern w:val="0"/>
                <w:sz w:val="22"/>
                <w:szCs w:val="22"/>
              </w:rPr>
              <w:t>=</w:t>
            </w:r>
            <w:r>
              <w:rPr>
                <w:rFonts w:ascii="宋体" w:hAnsi="宋体" w:cs="宋体"/>
                <w:color w:val="000000"/>
                <w:kern w:val="0"/>
                <w:sz w:val="22"/>
                <w:szCs w:val="22"/>
              </w:rPr>
              <w:t>实际完成的运输量</w:t>
            </w:r>
            <w:r>
              <w:rPr>
                <w:rFonts w:cs="宋体" w:ascii="宋体" w:hAnsi="宋体"/>
                <w:color w:val="000000"/>
                <w:kern w:val="0"/>
                <w:sz w:val="22"/>
                <w:szCs w:val="22"/>
              </w:rPr>
              <w:t>÷</w:t>
            </w:r>
            <w:r>
              <w:rPr>
                <w:rFonts w:ascii="宋体" w:hAnsi="宋体" w:cs="宋体"/>
                <w:color w:val="000000"/>
                <w:kern w:val="0"/>
                <w:sz w:val="22"/>
                <w:szCs w:val="22"/>
              </w:rPr>
              <w:t>计划运输量</w:t>
            </w:r>
            <w:r>
              <w:rPr>
                <w:rFonts w:cs="宋体" w:ascii="宋体" w:hAnsi="宋体"/>
                <w:color w:val="000000"/>
                <w:kern w:val="0"/>
                <w:sz w:val="22"/>
                <w:szCs w:val="22"/>
              </w:rPr>
              <w:t>×100%</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运输作业人员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1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运输的及时性</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出现一次不及时扣</w:t>
            </w:r>
            <w:r>
              <w:rPr>
                <w:rFonts w:cs="宋体" w:ascii="宋体" w:hAnsi="宋体"/>
                <w:color w:val="000000"/>
                <w:kern w:val="0"/>
                <w:sz w:val="22"/>
                <w:szCs w:val="22"/>
              </w:rPr>
              <w:t>2</w:t>
            </w:r>
            <w:r>
              <w:rPr>
                <w:rFonts w:ascii="宋体" w:hAnsi="宋体" w:cs="宋体"/>
                <w:color w:val="000000"/>
                <w:kern w:val="0"/>
                <w:sz w:val="22"/>
                <w:szCs w:val="22"/>
              </w:rPr>
              <w:t>分，扣完为止。及时是指按照相关部门下达的运输计划量、进货时间要求或者发货时间要求完成相应的运输工作。</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运输作业人员</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7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运输的准确性</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出现一次不准确扣</w:t>
            </w:r>
            <w:r>
              <w:rPr>
                <w:rFonts w:cs="宋体" w:ascii="宋体" w:hAnsi="宋体"/>
                <w:color w:val="000000"/>
                <w:kern w:val="0"/>
                <w:sz w:val="22"/>
                <w:szCs w:val="22"/>
              </w:rPr>
              <w:t>5</w:t>
            </w:r>
            <w:r>
              <w:rPr>
                <w:rFonts w:ascii="宋体" w:hAnsi="宋体" w:cs="宋体"/>
                <w:color w:val="000000"/>
                <w:kern w:val="0"/>
                <w:sz w:val="22"/>
                <w:szCs w:val="22"/>
              </w:rPr>
              <w:t>分，扣完为止。（准确是指所运输物资的品种、规格、数量以及目的地到达等完全符合运货单的要求）</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运输作业人员</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9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运输作业破损率</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运输作业破损率</w:t>
            </w:r>
            <w:r>
              <w:rPr>
                <w:rFonts w:cs="宋体" w:ascii="宋体" w:hAnsi="宋体"/>
                <w:color w:val="000000"/>
                <w:kern w:val="0"/>
                <w:sz w:val="22"/>
                <w:szCs w:val="22"/>
              </w:rPr>
              <w:t>=</w:t>
            </w:r>
            <w:r>
              <w:rPr>
                <w:rFonts w:ascii="宋体" w:hAnsi="宋体" w:cs="宋体"/>
                <w:color w:val="000000"/>
                <w:kern w:val="0"/>
                <w:sz w:val="22"/>
                <w:szCs w:val="22"/>
              </w:rPr>
              <w:t>（运输过程中人为原因造成的破损数量</w:t>
            </w:r>
            <w:r>
              <w:rPr>
                <w:rFonts w:cs="宋体" w:ascii="宋体" w:hAnsi="宋体"/>
                <w:color w:val="000000"/>
                <w:kern w:val="0"/>
                <w:sz w:val="22"/>
                <w:szCs w:val="22"/>
              </w:rPr>
              <w:t>÷</w:t>
            </w:r>
            <w:r>
              <w:rPr>
                <w:rFonts w:ascii="宋体" w:hAnsi="宋体" w:cs="宋体"/>
                <w:color w:val="000000"/>
                <w:kern w:val="0"/>
                <w:sz w:val="22"/>
                <w:szCs w:val="22"/>
              </w:rPr>
              <w:t>运输总量）</w:t>
            </w:r>
            <w:r>
              <w:rPr>
                <w:rFonts w:cs="宋体" w:ascii="宋体" w:hAnsi="宋体"/>
                <w:color w:val="000000"/>
                <w:kern w:val="0"/>
                <w:sz w:val="22"/>
                <w:szCs w:val="22"/>
              </w:rPr>
              <w:t>×100%</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w:t>
            </w:r>
            <w:r>
              <w:rPr>
                <w:rFonts w:cs="宋体" w:ascii="宋体" w:hAnsi="宋体"/>
                <w:color w:val="000000"/>
                <w:kern w:val="0"/>
                <w:sz w:val="20"/>
                <w:szCs w:val="20"/>
              </w:rPr>
              <w:t>/</w:t>
            </w:r>
            <w:r>
              <w:rPr>
                <w:rFonts w:ascii="宋体" w:hAnsi="宋体" w:cs="宋体"/>
                <w:color w:val="000000"/>
                <w:kern w:val="0"/>
                <w:sz w:val="20"/>
                <w:szCs w:val="20"/>
              </w:rPr>
              <w:t>质量管理部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运输作业人员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18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车辆维护与管理</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单位工时作业量完成率</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单位工时作业量完成率</w:t>
            </w:r>
            <w:r>
              <w:rPr>
                <w:rFonts w:cs="宋体" w:ascii="宋体" w:hAnsi="宋体"/>
                <w:color w:val="000000"/>
                <w:kern w:val="0"/>
                <w:sz w:val="22"/>
                <w:szCs w:val="22"/>
              </w:rPr>
              <w:t>=</w:t>
            </w:r>
            <w:r>
              <w:rPr>
                <w:rFonts w:ascii="宋体" w:hAnsi="宋体" w:cs="宋体"/>
                <w:color w:val="000000"/>
                <w:kern w:val="0"/>
                <w:sz w:val="22"/>
                <w:szCs w:val="22"/>
              </w:rPr>
              <w:t>（实际单位工时作业量</w:t>
            </w:r>
            <w:r>
              <w:rPr>
                <w:rFonts w:cs="宋体" w:ascii="宋体" w:hAnsi="宋体"/>
                <w:color w:val="000000"/>
                <w:kern w:val="0"/>
                <w:sz w:val="22"/>
                <w:szCs w:val="22"/>
              </w:rPr>
              <w:t>÷</w:t>
            </w:r>
            <w:r>
              <w:rPr>
                <w:rFonts w:ascii="宋体" w:hAnsi="宋体" w:cs="宋体"/>
                <w:color w:val="000000"/>
                <w:kern w:val="0"/>
                <w:sz w:val="22"/>
                <w:szCs w:val="22"/>
              </w:rPr>
              <w:t>计划单位工时作业量）</w:t>
            </w:r>
            <w:r>
              <w:rPr>
                <w:rFonts w:cs="宋体" w:ascii="宋体" w:hAnsi="宋体"/>
                <w:color w:val="000000"/>
                <w:kern w:val="0"/>
                <w:sz w:val="22"/>
                <w:szCs w:val="22"/>
              </w:rPr>
              <w:t>× 100%</w:t>
              <w:br/>
            </w:r>
            <w:r>
              <w:rPr>
                <w:rFonts w:ascii="宋体" w:hAnsi="宋体" w:cs="宋体"/>
                <w:color w:val="000000"/>
                <w:kern w:val="0"/>
                <w:sz w:val="22"/>
                <w:szCs w:val="22"/>
              </w:rPr>
              <w:t>单位工时作业量（吨</w:t>
            </w:r>
            <w:r>
              <w:rPr>
                <w:rFonts w:cs="宋体" w:ascii="宋体" w:hAnsi="宋体"/>
                <w:color w:val="000000"/>
                <w:kern w:val="0"/>
                <w:sz w:val="22"/>
                <w:szCs w:val="22"/>
              </w:rPr>
              <w:t>/</w:t>
            </w:r>
            <w:r>
              <w:rPr>
                <w:rFonts w:ascii="宋体" w:hAnsi="宋体" w:cs="宋体"/>
                <w:color w:val="000000"/>
                <w:kern w:val="0"/>
                <w:sz w:val="22"/>
                <w:szCs w:val="22"/>
              </w:rPr>
              <w:t>工时）</w:t>
            </w:r>
            <w:r>
              <w:rPr>
                <w:rFonts w:cs="宋体" w:ascii="宋体" w:hAnsi="宋体"/>
                <w:color w:val="000000"/>
                <w:kern w:val="0"/>
                <w:sz w:val="22"/>
                <w:szCs w:val="22"/>
              </w:rPr>
              <w:t>=</w:t>
            </w:r>
            <w:r>
              <w:rPr>
                <w:rFonts w:ascii="宋体" w:hAnsi="宋体" w:cs="宋体"/>
                <w:color w:val="000000"/>
                <w:kern w:val="0"/>
                <w:sz w:val="22"/>
                <w:szCs w:val="22"/>
              </w:rPr>
              <w:t>货物作业量</w:t>
            </w:r>
            <w:r>
              <w:rPr>
                <w:rFonts w:cs="宋体" w:ascii="宋体" w:hAnsi="宋体"/>
                <w:color w:val="000000"/>
                <w:kern w:val="0"/>
                <w:sz w:val="22"/>
                <w:szCs w:val="22"/>
              </w:rPr>
              <w:t>÷</w:t>
            </w:r>
            <w:r>
              <w:rPr>
                <w:rFonts w:ascii="宋体" w:hAnsi="宋体" w:cs="宋体"/>
                <w:color w:val="000000"/>
                <w:kern w:val="0"/>
                <w:sz w:val="22"/>
                <w:szCs w:val="22"/>
              </w:rPr>
              <w:t>作业人员总工时</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运输作业人员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08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车辆维护与管理</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定期对车辆进行维护、保养、保洁；并建立车辆档案、做好各项检查记录，不得因为车辆故障，影响正常的运输作业。影响一次扣</w:t>
            </w:r>
            <w:r>
              <w:rPr>
                <w:rFonts w:cs="宋体" w:ascii="宋体" w:hAnsi="宋体"/>
                <w:color w:val="000000"/>
                <w:kern w:val="0"/>
                <w:sz w:val="22"/>
                <w:szCs w:val="22"/>
              </w:rPr>
              <w:t>5</w:t>
            </w:r>
            <w:r>
              <w:rPr>
                <w:rFonts w:ascii="宋体" w:hAnsi="宋体" w:cs="宋体"/>
                <w:color w:val="000000"/>
                <w:kern w:val="0"/>
                <w:sz w:val="22"/>
                <w:szCs w:val="22"/>
              </w:rPr>
              <w:t>分，最多扣</w:t>
            </w:r>
            <w:r>
              <w:rPr>
                <w:rFonts w:cs="宋体" w:ascii="宋体" w:hAnsi="宋体"/>
                <w:color w:val="000000"/>
                <w:kern w:val="0"/>
                <w:sz w:val="22"/>
                <w:szCs w:val="22"/>
              </w:rPr>
              <w:t>20</w:t>
            </w:r>
            <w:r>
              <w:rPr>
                <w:rFonts w:ascii="宋体" w:hAnsi="宋体" w:cs="宋体"/>
                <w:color w:val="000000"/>
                <w:kern w:val="0"/>
                <w:sz w:val="22"/>
                <w:szCs w:val="22"/>
              </w:rPr>
              <w:t>分。</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运输作业人员</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20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货物运输成本控制</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单位货物运输费用控制率</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单位运输费用控制率</w:t>
            </w:r>
            <w:r>
              <w:rPr>
                <w:rFonts w:cs="宋体" w:ascii="宋体" w:hAnsi="宋体"/>
                <w:color w:val="000000"/>
                <w:kern w:val="0"/>
                <w:sz w:val="22"/>
                <w:szCs w:val="22"/>
              </w:rPr>
              <w:t>=</w:t>
            </w:r>
            <w:r>
              <w:rPr>
                <w:rFonts w:ascii="宋体" w:hAnsi="宋体" w:cs="宋体"/>
                <w:color w:val="000000"/>
                <w:kern w:val="0"/>
                <w:sz w:val="22"/>
                <w:szCs w:val="22"/>
              </w:rPr>
              <w:t>（实际单位货物运输成本</w:t>
            </w:r>
            <w:r>
              <w:rPr>
                <w:rFonts w:cs="宋体" w:ascii="宋体" w:hAnsi="宋体"/>
                <w:color w:val="000000"/>
                <w:kern w:val="0"/>
                <w:sz w:val="22"/>
                <w:szCs w:val="22"/>
              </w:rPr>
              <w:t>÷</w:t>
            </w:r>
            <w:r>
              <w:rPr>
                <w:rFonts w:ascii="宋体" w:hAnsi="宋体" w:cs="宋体"/>
                <w:color w:val="000000"/>
                <w:kern w:val="0"/>
                <w:sz w:val="22"/>
                <w:szCs w:val="22"/>
              </w:rPr>
              <w:t>计划单位货物运输成本）</w:t>
            </w:r>
            <w:r>
              <w:rPr>
                <w:rFonts w:cs="宋体" w:ascii="宋体" w:hAnsi="宋体"/>
                <w:color w:val="000000"/>
                <w:kern w:val="0"/>
                <w:sz w:val="22"/>
                <w:szCs w:val="22"/>
              </w:rPr>
              <w:t>×100%</w:t>
            </w:r>
            <w:r>
              <w:rPr>
                <w:rFonts w:ascii="宋体" w:hAnsi="宋体" w:cs="宋体"/>
                <w:color w:val="000000"/>
                <w:kern w:val="0"/>
                <w:sz w:val="22"/>
                <w:szCs w:val="22"/>
              </w:rPr>
              <w:t>，运输费用主要指物料消耗、车辆修理费、燃油费、人工费以及加班费等。</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运输作业人员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75" w:hRule="atLeast"/>
        </w:trPr>
        <w:tc>
          <w:tcPr>
            <w:tcW w:w="1300"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货物配送</w:t>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货物配送完成情况</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配送计划完成率</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配送计划完成率</w:t>
            </w:r>
            <w:r>
              <w:rPr>
                <w:rFonts w:cs="宋体" w:ascii="宋体" w:hAnsi="宋体"/>
                <w:color w:val="000000"/>
                <w:kern w:val="0"/>
                <w:sz w:val="22"/>
                <w:szCs w:val="22"/>
              </w:rPr>
              <w:t>=</w:t>
            </w:r>
            <w:r>
              <w:rPr>
                <w:rFonts w:ascii="宋体" w:hAnsi="宋体" w:cs="宋体"/>
                <w:color w:val="000000"/>
                <w:kern w:val="0"/>
                <w:sz w:val="22"/>
                <w:szCs w:val="22"/>
              </w:rPr>
              <w:t>实际完成的配送量</w:t>
            </w:r>
            <w:r>
              <w:rPr>
                <w:rFonts w:cs="宋体" w:ascii="宋体" w:hAnsi="宋体"/>
                <w:color w:val="000000"/>
                <w:kern w:val="0"/>
                <w:sz w:val="22"/>
                <w:szCs w:val="22"/>
              </w:rPr>
              <w:t>÷</w:t>
            </w:r>
            <w:r>
              <w:rPr>
                <w:rFonts w:ascii="宋体" w:hAnsi="宋体" w:cs="宋体"/>
                <w:color w:val="000000"/>
                <w:kern w:val="0"/>
                <w:sz w:val="22"/>
                <w:szCs w:val="22"/>
              </w:rPr>
              <w:t>应完成的配送量（以订单及发货单为准）</w:t>
            </w:r>
            <w:r>
              <w:rPr>
                <w:rFonts w:cs="宋体" w:ascii="宋体" w:hAnsi="宋体"/>
                <w:color w:val="000000"/>
                <w:kern w:val="0"/>
                <w:sz w:val="22"/>
                <w:szCs w:val="22"/>
              </w:rPr>
              <w:t>×100%</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配送员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0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配送的及时性</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出现一次不及时扣</w:t>
            </w:r>
            <w:r>
              <w:rPr>
                <w:rFonts w:cs="宋体" w:ascii="宋体" w:hAnsi="宋体"/>
                <w:color w:val="000000"/>
                <w:kern w:val="0"/>
                <w:sz w:val="22"/>
                <w:szCs w:val="22"/>
              </w:rPr>
              <w:t>2</w:t>
            </w:r>
            <w:r>
              <w:rPr>
                <w:rFonts w:ascii="宋体" w:hAnsi="宋体" w:cs="宋体"/>
                <w:color w:val="000000"/>
                <w:kern w:val="0"/>
                <w:sz w:val="22"/>
                <w:szCs w:val="22"/>
              </w:rPr>
              <w:t>分，扣完为止。及时是指按照相关部门下达的配送计划量、发货时间要求完成相应的配送工作。</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配送员</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9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配送的准确性</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出现一次不准确扣</w:t>
            </w:r>
            <w:r>
              <w:rPr>
                <w:rFonts w:cs="宋体" w:ascii="宋体" w:hAnsi="宋体"/>
                <w:color w:val="000000"/>
                <w:kern w:val="0"/>
                <w:sz w:val="22"/>
                <w:szCs w:val="22"/>
              </w:rPr>
              <w:t>5</w:t>
            </w:r>
            <w:r>
              <w:rPr>
                <w:rFonts w:ascii="宋体" w:hAnsi="宋体" w:cs="宋体"/>
                <w:color w:val="000000"/>
                <w:kern w:val="0"/>
                <w:sz w:val="22"/>
                <w:szCs w:val="22"/>
              </w:rPr>
              <w:t>分，扣完为止。（准确是指所配送物资的品种、规格、数量以及目的地到达等完全符合发货单的要求）</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配送员</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7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个人配送效率</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个人配送效率</w:t>
            </w:r>
            <w:r>
              <w:rPr>
                <w:rFonts w:cs="宋体" w:ascii="宋体" w:hAnsi="宋体"/>
                <w:color w:val="000000"/>
                <w:kern w:val="0"/>
                <w:sz w:val="22"/>
                <w:szCs w:val="22"/>
              </w:rPr>
              <w:t>=</w:t>
            </w:r>
            <w:r>
              <w:rPr>
                <w:rFonts w:ascii="宋体" w:hAnsi="宋体" w:cs="宋体"/>
                <w:color w:val="000000"/>
                <w:kern w:val="0"/>
                <w:sz w:val="22"/>
                <w:szCs w:val="22"/>
              </w:rPr>
              <w:t>实际每单等待时间</w:t>
            </w:r>
            <w:r>
              <w:rPr>
                <w:rFonts w:cs="宋体" w:ascii="宋体" w:hAnsi="宋体"/>
                <w:color w:val="000000"/>
                <w:kern w:val="0"/>
                <w:sz w:val="22"/>
                <w:szCs w:val="22"/>
              </w:rPr>
              <w:t>÷</w:t>
            </w:r>
            <w:r>
              <w:rPr>
                <w:rFonts w:ascii="宋体" w:hAnsi="宋体" w:cs="宋体"/>
                <w:color w:val="000000"/>
                <w:kern w:val="0"/>
                <w:sz w:val="22"/>
                <w:szCs w:val="22"/>
              </w:rPr>
              <w:t>公司整体每单等待时间</w:t>
            </w:r>
            <w:r>
              <w:rPr>
                <w:rFonts w:cs="宋体" w:ascii="宋体" w:hAnsi="宋体"/>
                <w:color w:val="000000"/>
                <w:kern w:val="0"/>
                <w:sz w:val="22"/>
                <w:szCs w:val="22"/>
              </w:rPr>
              <w:t>×100%</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配送员</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7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物资破损率</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物资破损率</w:t>
            </w:r>
            <w:r>
              <w:rPr>
                <w:rFonts w:cs="宋体" w:ascii="宋体" w:hAnsi="宋体"/>
                <w:color w:val="000000"/>
                <w:kern w:val="0"/>
                <w:sz w:val="22"/>
                <w:szCs w:val="22"/>
              </w:rPr>
              <w:t>=</w:t>
            </w:r>
            <w:r>
              <w:rPr>
                <w:rFonts w:ascii="宋体" w:hAnsi="宋体" w:cs="宋体"/>
                <w:color w:val="000000"/>
                <w:kern w:val="0"/>
                <w:sz w:val="22"/>
                <w:szCs w:val="22"/>
              </w:rPr>
              <w:t>（运输过程中人为原因造成的物资破损数量</w:t>
            </w:r>
            <w:r>
              <w:rPr>
                <w:rFonts w:cs="宋体" w:ascii="宋体" w:hAnsi="宋体"/>
                <w:color w:val="000000"/>
                <w:kern w:val="0"/>
                <w:sz w:val="22"/>
                <w:szCs w:val="22"/>
              </w:rPr>
              <w:t>÷</w:t>
            </w:r>
            <w:r>
              <w:rPr>
                <w:rFonts w:ascii="宋体" w:hAnsi="宋体" w:cs="宋体"/>
                <w:color w:val="000000"/>
                <w:kern w:val="0"/>
                <w:sz w:val="22"/>
                <w:szCs w:val="22"/>
              </w:rPr>
              <w:t>配送总量）</w:t>
            </w:r>
            <w:r>
              <w:rPr>
                <w:rFonts w:cs="宋体" w:ascii="宋体" w:hAnsi="宋体"/>
                <w:color w:val="000000"/>
                <w:kern w:val="0"/>
                <w:sz w:val="22"/>
                <w:szCs w:val="22"/>
              </w:rPr>
              <w:t>×100%</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w:t>
            </w:r>
            <w:r>
              <w:rPr>
                <w:rFonts w:cs="宋体" w:ascii="宋体" w:hAnsi="宋体"/>
                <w:color w:val="000000"/>
                <w:kern w:val="0"/>
                <w:sz w:val="20"/>
                <w:szCs w:val="20"/>
              </w:rPr>
              <w:t>/</w:t>
            </w:r>
            <w:r>
              <w:rPr>
                <w:rFonts w:ascii="宋体" w:hAnsi="宋体" w:cs="宋体"/>
                <w:color w:val="000000"/>
                <w:kern w:val="0"/>
                <w:sz w:val="20"/>
                <w:szCs w:val="20"/>
              </w:rPr>
              <w:t>质量管理部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配送员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9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配送服务满意度</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配送服务满意度</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客户服务满意度是指通过针对售后服务工作进行调查，取得客户的反馈及评分结果；投诉率低于</w:t>
            </w:r>
            <w:r>
              <w:rPr>
                <w:rFonts w:cs="宋体" w:ascii="宋体" w:hAnsi="宋体"/>
                <w:color w:val="000000"/>
                <w:kern w:val="0"/>
                <w:sz w:val="22"/>
                <w:szCs w:val="22"/>
              </w:rPr>
              <w:t>2%</w:t>
            </w:r>
            <w:r>
              <w:rPr>
                <w:rFonts w:ascii="宋体" w:hAnsi="宋体" w:cs="宋体"/>
                <w:color w:val="000000"/>
                <w:kern w:val="0"/>
                <w:sz w:val="22"/>
                <w:szCs w:val="22"/>
              </w:rPr>
              <w:t>。</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客户类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物流部、客户满意度调查</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配送员</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26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配送成本控制</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单位货物配送费用控制率</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单位货物配送费用控制率</w:t>
            </w:r>
            <w:r>
              <w:rPr>
                <w:rFonts w:cs="宋体" w:ascii="宋体" w:hAnsi="宋体"/>
                <w:color w:val="000000"/>
                <w:kern w:val="0"/>
                <w:sz w:val="22"/>
                <w:szCs w:val="22"/>
              </w:rPr>
              <w:t>=</w:t>
            </w:r>
            <w:r>
              <w:rPr>
                <w:rFonts w:ascii="宋体" w:hAnsi="宋体" w:cs="宋体"/>
                <w:color w:val="000000"/>
                <w:kern w:val="0"/>
                <w:sz w:val="22"/>
                <w:szCs w:val="22"/>
              </w:rPr>
              <w:t>（实际单位货物配送成本</w:t>
            </w:r>
            <w:r>
              <w:rPr>
                <w:rFonts w:cs="宋体" w:ascii="宋体" w:hAnsi="宋体"/>
                <w:color w:val="000000"/>
                <w:kern w:val="0"/>
                <w:sz w:val="22"/>
                <w:szCs w:val="22"/>
              </w:rPr>
              <w:t>÷</w:t>
            </w:r>
            <w:r>
              <w:rPr>
                <w:rFonts w:ascii="宋体" w:hAnsi="宋体" w:cs="宋体"/>
                <w:color w:val="000000"/>
                <w:kern w:val="0"/>
                <w:sz w:val="22"/>
                <w:szCs w:val="22"/>
              </w:rPr>
              <w:t>计划单位货物配送成本）</w:t>
            </w:r>
            <w:r>
              <w:rPr>
                <w:rFonts w:cs="宋体" w:ascii="宋体" w:hAnsi="宋体"/>
                <w:color w:val="000000"/>
                <w:kern w:val="0"/>
                <w:sz w:val="22"/>
                <w:szCs w:val="22"/>
              </w:rPr>
              <w:t>×100%</w:t>
            </w:r>
            <w:r>
              <w:rPr>
                <w:rFonts w:ascii="宋体" w:hAnsi="宋体" w:cs="宋体"/>
                <w:color w:val="000000"/>
                <w:kern w:val="0"/>
                <w:sz w:val="22"/>
                <w:szCs w:val="22"/>
              </w:rPr>
              <w:t>，配送成本主要指物料消耗、车辆修理费、燃油费（或者耗电费用）、人工费以及加班费等。</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配送员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75" w:hRule="atLeast"/>
        </w:trPr>
        <w:tc>
          <w:tcPr>
            <w:tcW w:w="1300"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车辆管理</w:t>
            </w:r>
          </w:p>
        </w:tc>
        <w:tc>
          <w:tcPr>
            <w:tcW w:w="1240" w:type="dxa"/>
            <w:vMerge w:val="restart"/>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车辆运输管理</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运输计划完成率</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运输计划完成率</w:t>
            </w:r>
            <w:r>
              <w:rPr>
                <w:rFonts w:cs="宋体" w:ascii="宋体" w:hAnsi="宋体"/>
                <w:color w:val="000000"/>
                <w:kern w:val="0"/>
                <w:sz w:val="22"/>
                <w:szCs w:val="22"/>
              </w:rPr>
              <w:t>=</w:t>
            </w:r>
            <w:r>
              <w:rPr>
                <w:rFonts w:ascii="宋体" w:hAnsi="宋体" w:cs="宋体"/>
                <w:color w:val="000000"/>
                <w:kern w:val="0"/>
                <w:sz w:val="22"/>
                <w:szCs w:val="22"/>
              </w:rPr>
              <w:t>实际完成的运输量</w:t>
            </w:r>
            <w:r>
              <w:rPr>
                <w:rFonts w:cs="宋体" w:ascii="宋体" w:hAnsi="宋体"/>
                <w:color w:val="000000"/>
                <w:kern w:val="0"/>
                <w:sz w:val="22"/>
                <w:szCs w:val="22"/>
              </w:rPr>
              <w:t>÷</w:t>
            </w:r>
            <w:r>
              <w:rPr>
                <w:rFonts w:ascii="宋体" w:hAnsi="宋体" w:cs="宋体"/>
                <w:color w:val="000000"/>
                <w:kern w:val="0"/>
                <w:sz w:val="22"/>
                <w:szCs w:val="22"/>
              </w:rPr>
              <w:t>计划运输量</w:t>
            </w:r>
            <w:r>
              <w:rPr>
                <w:rFonts w:cs="宋体" w:ascii="宋体" w:hAnsi="宋体"/>
                <w:color w:val="000000"/>
                <w:kern w:val="0"/>
                <w:sz w:val="22"/>
                <w:szCs w:val="22"/>
              </w:rPr>
              <w:t>×100%</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车辆管理人员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3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运输车辆到位的及时性</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出现一次不及时扣</w:t>
            </w:r>
            <w:r>
              <w:rPr>
                <w:rFonts w:cs="宋体" w:ascii="宋体" w:hAnsi="宋体"/>
                <w:color w:val="000000"/>
                <w:kern w:val="0"/>
                <w:sz w:val="22"/>
                <w:szCs w:val="22"/>
              </w:rPr>
              <w:t>2</w:t>
            </w:r>
            <w:r>
              <w:rPr>
                <w:rFonts w:ascii="宋体" w:hAnsi="宋体" w:cs="宋体"/>
                <w:color w:val="000000"/>
                <w:kern w:val="0"/>
                <w:sz w:val="22"/>
                <w:szCs w:val="22"/>
              </w:rPr>
              <w:t>分，扣完为止。及时是指按照相关部门下达的运输计划量及时、合理调度与安排运输车辆，保证物流工作正常运行。</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车辆管理人员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78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运输车辆调度与规划的合理性</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出现一次不合理扣</w:t>
            </w:r>
            <w:r>
              <w:rPr>
                <w:rFonts w:cs="宋体" w:ascii="宋体" w:hAnsi="宋体"/>
                <w:color w:val="000000"/>
                <w:kern w:val="0"/>
                <w:sz w:val="22"/>
                <w:szCs w:val="22"/>
              </w:rPr>
              <w:t>2</w:t>
            </w:r>
            <w:r>
              <w:rPr>
                <w:rFonts w:ascii="宋体" w:hAnsi="宋体" w:cs="宋体"/>
                <w:color w:val="000000"/>
                <w:kern w:val="0"/>
                <w:sz w:val="22"/>
                <w:szCs w:val="22"/>
              </w:rPr>
              <w:t>分，扣完为止。合理是指根据运输路况、货物品类、目的地等特征，科学合理安排车辆类型、行驶路线、车辆班次、往返频率等等，要求做到尽量节约成本、节省时间。具体判定不合理，以驾驶员或者客户投诉且影响工作效率或者无故增加运输成本为准。</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车辆管理人员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56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运输效率提高率</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运输效率提高率</w:t>
            </w:r>
            <w:r>
              <w:rPr>
                <w:rFonts w:cs="宋体" w:ascii="宋体" w:hAnsi="宋体"/>
                <w:color w:val="000000"/>
                <w:kern w:val="0"/>
                <w:sz w:val="22"/>
                <w:szCs w:val="22"/>
              </w:rPr>
              <w:t>=</w:t>
            </w:r>
            <w:r>
              <w:rPr>
                <w:rFonts w:ascii="宋体" w:hAnsi="宋体" w:cs="宋体"/>
                <w:color w:val="000000"/>
                <w:kern w:val="0"/>
                <w:sz w:val="22"/>
                <w:szCs w:val="22"/>
              </w:rPr>
              <w:t>（日常平均运输时间</w:t>
            </w:r>
            <w:r>
              <w:rPr>
                <w:rFonts w:cs="宋体" w:ascii="宋体" w:hAnsi="宋体"/>
                <w:color w:val="000000"/>
                <w:kern w:val="0"/>
                <w:sz w:val="22"/>
                <w:szCs w:val="22"/>
              </w:rPr>
              <w:t>-</w:t>
            </w:r>
            <w:r>
              <w:rPr>
                <w:rFonts w:ascii="宋体" w:hAnsi="宋体" w:cs="宋体"/>
                <w:color w:val="000000"/>
                <w:kern w:val="0"/>
                <w:sz w:val="22"/>
                <w:szCs w:val="22"/>
              </w:rPr>
              <w:t>实际运输时间）</w:t>
            </w:r>
            <w:r>
              <w:rPr>
                <w:rFonts w:cs="宋体" w:ascii="宋体" w:hAnsi="宋体"/>
                <w:color w:val="000000"/>
                <w:kern w:val="0"/>
                <w:sz w:val="22"/>
                <w:szCs w:val="22"/>
              </w:rPr>
              <w:t>÷</w:t>
            </w:r>
            <w:r>
              <w:rPr>
                <w:rFonts w:ascii="宋体" w:hAnsi="宋体" w:cs="宋体"/>
                <w:color w:val="000000"/>
                <w:kern w:val="0"/>
                <w:sz w:val="22"/>
                <w:szCs w:val="22"/>
              </w:rPr>
              <w:t>日常平均运输时间</w:t>
            </w:r>
            <w:r>
              <w:rPr>
                <w:rFonts w:cs="宋体" w:ascii="宋体" w:hAnsi="宋体"/>
                <w:color w:val="000000"/>
                <w:kern w:val="0"/>
                <w:sz w:val="22"/>
                <w:szCs w:val="22"/>
              </w:rPr>
              <w:t>×100%</w:t>
            </w:r>
            <w:r>
              <w:rPr>
                <w:rFonts w:ascii="宋体" w:hAnsi="宋体" w:cs="宋体"/>
                <w:color w:val="000000"/>
                <w:kern w:val="0"/>
                <w:sz w:val="22"/>
                <w:szCs w:val="22"/>
              </w:rPr>
              <w:t>。（主要指在运输成本不提高甚至降低的前提下，通过科学合理的车辆调度与安排、车辆的高效维护与保养，节约运输时间成本。）</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车辆管理人员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05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车辆维护与管理</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维护与保养的及时性</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出现一次不及时扣</w:t>
            </w:r>
            <w:r>
              <w:rPr>
                <w:rFonts w:cs="宋体" w:ascii="宋体" w:hAnsi="宋体"/>
                <w:color w:val="000000"/>
                <w:kern w:val="0"/>
                <w:sz w:val="22"/>
                <w:szCs w:val="22"/>
              </w:rPr>
              <w:t>2</w:t>
            </w:r>
            <w:r>
              <w:rPr>
                <w:rFonts w:ascii="宋体" w:hAnsi="宋体" w:cs="宋体"/>
                <w:color w:val="000000"/>
                <w:kern w:val="0"/>
                <w:sz w:val="22"/>
                <w:szCs w:val="22"/>
              </w:rPr>
              <w:t>分，扣完为止。及时是指按照车辆管理规定定期进行维护与保养，并做好维护保养记录。</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车辆管理人员</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3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维护与保养的规范性</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检查发现一次不规范扣</w:t>
            </w:r>
            <w:r>
              <w:rPr>
                <w:rFonts w:cs="宋体" w:ascii="宋体" w:hAnsi="宋体"/>
                <w:color w:val="000000"/>
                <w:kern w:val="0"/>
                <w:sz w:val="22"/>
                <w:szCs w:val="22"/>
              </w:rPr>
              <w:t>5</w:t>
            </w:r>
            <w:r>
              <w:rPr>
                <w:rFonts w:ascii="宋体" w:hAnsi="宋体" w:cs="宋体"/>
                <w:color w:val="000000"/>
                <w:kern w:val="0"/>
                <w:sz w:val="22"/>
                <w:szCs w:val="22"/>
              </w:rPr>
              <w:t>分，最多扣</w:t>
            </w:r>
            <w:r>
              <w:rPr>
                <w:rFonts w:cs="宋体" w:ascii="宋体" w:hAnsi="宋体"/>
                <w:color w:val="000000"/>
                <w:kern w:val="0"/>
                <w:sz w:val="22"/>
                <w:szCs w:val="22"/>
              </w:rPr>
              <w:t>20</w:t>
            </w:r>
            <w:r>
              <w:rPr>
                <w:rFonts w:ascii="宋体" w:hAnsi="宋体" w:cs="宋体"/>
                <w:color w:val="000000"/>
                <w:kern w:val="0"/>
                <w:sz w:val="22"/>
                <w:szCs w:val="22"/>
              </w:rPr>
              <w:t>分。规范是指按照车辆管理规定定期进行维护与保养，并做好维护保养记录。</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车辆管理人员</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60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车辆管理资料及信息管理</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建立车辆档案，记录并保存车辆初始状况、运行现状、维修记录、保养记录、运输作业报表、</w:t>
            </w:r>
            <w:r>
              <w:rPr>
                <w:rFonts w:cs="宋体" w:ascii="宋体" w:hAnsi="宋体"/>
                <w:color w:val="000000"/>
                <w:kern w:val="0"/>
                <w:sz w:val="22"/>
                <w:szCs w:val="22"/>
              </w:rPr>
              <w:t>6S</w:t>
            </w:r>
            <w:r>
              <w:rPr>
                <w:rFonts w:ascii="宋体" w:hAnsi="宋体" w:cs="宋体"/>
                <w:color w:val="000000"/>
                <w:kern w:val="0"/>
                <w:sz w:val="22"/>
                <w:szCs w:val="22"/>
              </w:rPr>
              <w:t>检查表，等等。做到资料完整、信息全面、及时更新、记录准确无误，并及时向上级领导或者相关部门反馈相关数据与信息。</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车辆管理人员</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9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车辆故障率</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故障率应该控制在</w:t>
            </w:r>
            <w:r>
              <w:rPr>
                <w:rFonts w:cs="宋体" w:ascii="宋体" w:hAnsi="宋体"/>
                <w:color w:val="000000"/>
                <w:kern w:val="0"/>
                <w:sz w:val="22"/>
                <w:szCs w:val="22"/>
              </w:rPr>
              <w:t>5%</w:t>
            </w:r>
            <w:r>
              <w:rPr>
                <w:rFonts w:ascii="宋体" w:hAnsi="宋体" w:cs="宋体"/>
                <w:color w:val="000000"/>
                <w:kern w:val="0"/>
                <w:sz w:val="22"/>
                <w:szCs w:val="22"/>
              </w:rPr>
              <w:t>范围内。（故障率</w:t>
            </w:r>
            <w:r>
              <w:rPr>
                <w:rFonts w:cs="宋体" w:ascii="宋体" w:hAnsi="宋体"/>
                <w:color w:val="000000"/>
                <w:kern w:val="0"/>
                <w:sz w:val="22"/>
                <w:szCs w:val="22"/>
              </w:rPr>
              <w:t>=</w:t>
            </w:r>
            <w:r>
              <w:rPr>
                <w:rFonts w:ascii="宋体" w:hAnsi="宋体" w:cs="宋体"/>
                <w:color w:val="000000"/>
                <w:kern w:val="0"/>
                <w:sz w:val="22"/>
                <w:szCs w:val="22"/>
              </w:rPr>
              <w:t>故障车辆数量</w:t>
            </w:r>
            <w:r>
              <w:rPr>
                <w:rFonts w:cs="宋体" w:ascii="宋体" w:hAnsi="宋体"/>
                <w:color w:val="000000"/>
                <w:kern w:val="0"/>
                <w:sz w:val="22"/>
                <w:szCs w:val="22"/>
              </w:rPr>
              <w:t>÷</w:t>
            </w:r>
            <w:r>
              <w:rPr>
                <w:rFonts w:ascii="宋体" w:hAnsi="宋体" w:cs="宋体"/>
                <w:color w:val="000000"/>
                <w:kern w:val="0"/>
                <w:sz w:val="22"/>
                <w:szCs w:val="22"/>
              </w:rPr>
              <w:t>车辆总数</w:t>
            </w:r>
            <w:r>
              <w:rPr>
                <w:rFonts w:cs="宋体" w:ascii="宋体" w:hAnsi="宋体"/>
                <w:color w:val="000000"/>
                <w:kern w:val="0"/>
                <w:sz w:val="22"/>
                <w:szCs w:val="22"/>
              </w:rPr>
              <w:t>×100%</w:t>
            </w:r>
            <w:r>
              <w:rPr>
                <w:rFonts w:ascii="宋体" w:hAnsi="宋体" w:cs="宋体"/>
                <w:color w:val="000000"/>
                <w:kern w:val="0"/>
                <w:sz w:val="22"/>
                <w:szCs w:val="22"/>
              </w:rPr>
              <w:t>）</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车辆管理人员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5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车辆故障问题处理的及时性及准确性</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发现一次不及时，扣</w:t>
            </w:r>
            <w:r>
              <w:rPr>
                <w:rFonts w:cs="宋体" w:ascii="宋体" w:hAnsi="宋体"/>
                <w:color w:val="000000"/>
                <w:kern w:val="0"/>
                <w:sz w:val="22"/>
                <w:szCs w:val="22"/>
              </w:rPr>
              <w:t>2</w:t>
            </w:r>
            <w:r>
              <w:rPr>
                <w:rFonts w:ascii="宋体" w:hAnsi="宋体" w:cs="宋体"/>
                <w:color w:val="000000"/>
                <w:kern w:val="0"/>
                <w:sz w:val="22"/>
                <w:szCs w:val="22"/>
              </w:rPr>
              <w:t>分，最多扣</w:t>
            </w:r>
            <w:r>
              <w:rPr>
                <w:rFonts w:cs="宋体" w:ascii="宋体" w:hAnsi="宋体"/>
                <w:color w:val="000000"/>
                <w:kern w:val="0"/>
                <w:sz w:val="22"/>
                <w:szCs w:val="22"/>
              </w:rPr>
              <w:t>10</w:t>
            </w:r>
            <w:r>
              <w:rPr>
                <w:rFonts w:ascii="宋体" w:hAnsi="宋体" w:cs="宋体"/>
                <w:color w:val="000000"/>
                <w:kern w:val="0"/>
                <w:sz w:val="22"/>
                <w:szCs w:val="22"/>
              </w:rPr>
              <w:t>分；发现一次处理不恰当，扣</w:t>
            </w:r>
            <w:r>
              <w:rPr>
                <w:rFonts w:cs="宋体" w:ascii="宋体" w:hAnsi="宋体"/>
                <w:color w:val="000000"/>
                <w:kern w:val="0"/>
                <w:sz w:val="22"/>
                <w:szCs w:val="22"/>
              </w:rPr>
              <w:t>5</w:t>
            </w:r>
            <w:r>
              <w:rPr>
                <w:rFonts w:ascii="宋体" w:hAnsi="宋体" w:cs="宋体"/>
                <w:color w:val="000000"/>
                <w:kern w:val="0"/>
                <w:sz w:val="22"/>
                <w:szCs w:val="22"/>
              </w:rPr>
              <w:t>分，最多扣</w:t>
            </w:r>
            <w:r>
              <w:rPr>
                <w:rFonts w:cs="宋体" w:ascii="宋体" w:hAnsi="宋体"/>
                <w:color w:val="000000"/>
                <w:kern w:val="0"/>
                <w:sz w:val="22"/>
                <w:szCs w:val="22"/>
              </w:rPr>
              <w:t>20</w:t>
            </w:r>
            <w:r>
              <w:rPr>
                <w:rFonts w:ascii="宋体" w:hAnsi="宋体" w:cs="宋体"/>
                <w:color w:val="000000"/>
                <w:kern w:val="0"/>
                <w:sz w:val="22"/>
                <w:szCs w:val="22"/>
              </w:rPr>
              <w:t>分。</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车辆管理人员</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26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tcBorders>
              <w:top w:val="single" w:sz="4" w:space="0" w:color="000000"/>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车辆运输成本控制</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单位货物运输费用控制率</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单位运输费用控制率</w:t>
            </w:r>
            <w:r>
              <w:rPr>
                <w:rFonts w:cs="宋体" w:ascii="宋体" w:hAnsi="宋体"/>
                <w:color w:val="000000"/>
                <w:kern w:val="0"/>
                <w:sz w:val="22"/>
                <w:szCs w:val="22"/>
              </w:rPr>
              <w:t>=</w:t>
            </w:r>
            <w:r>
              <w:rPr>
                <w:rFonts w:ascii="宋体" w:hAnsi="宋体" w:cs="宋体"/>
                <w:color w:val="000000"/>
                <w:kern w:val="0"/>
                <w:sz w:val="22"/>
                <w:szCs w:val="22"/>
              </w:rPr>
              <w:t>（实际单位货物运输成本</w:t>
            </w:r>
            <w:r>
              <w:rPr>
                <w:rFonts w:cs="宋体" w:ascii="宋体" w:hAnsi="宋体"/>
                <w:color w:val="000000"/>
                <w:kern w:val="0"/>
                <w:sz w:val="22"/>
                <w:szCs w:val="22"/>
              </w:rPr>
              <w:t>÷</w:t>
            </w:r>
            <w:r>
              <w:rPr>
                <w:rFonts w:ascii="宋体" w:hAnsi="宋体" w:cs="宋体"/>
                <w:color w:val="000000"/>
                <w:kern w:val="0"/>
                <w:sz w:val="22"/>
                <w:szCs w:val="22"/>
              </w:rPr>
              <w:t>计划单位货物运输成本）</w:t>
            </w:r>
            <w:r>
              <w:rPr>
                <w:rFonts w:cs="宋体" w:ascii="宋体" w:hAnsi="宋体"/>
                <w:color w:val="000000"/>
                <w:kern w:val="0"/>
                <w:sz w:val="22"/>
                <w:szCs w:val="22"/>
              </w:rPr>
              <w:t>×100%</w:t>
            </w:r>
            <w:r>
              <w:rPr>
                <w:rFonts w:ascii="宋体" w:hAnsi="宋体" w:cs="宋体"/>
                <w:color w:val="000000"/>
                <w:kern w:val="0"/>
                <w:sz w:val="22"/>
                <w:szCs w:val="22"/>
              </w:rPr>
              <w:t>，运输费用主要指物料消耗、车辆修理费、燃油费、人工费以及加班费等。</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车辆管理人员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395" w:hRule="atLeast"/>
        </w:trPr>
        <w:tc>
          <w:tcPr>
            <w:tcW w:w="1300"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物流成本控制</w:t>
            </w:r>
          </w:p>
        </w:tc>
        <w:tc>
          <w:tcPr>
            <w:tcW w:w="1240" w:type="dxa"/>
            <w:tcBorders>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总储运成本控制</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总储运费用控制率</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储运费用控制率</w:t>
            </w:r>
            <w:r>
              <w:rPr>
                <w:rFonts w:cs="宋体" w:ascii="宋体" w:hAnsi="宋体"/>
                <w:color w:val="000000"/>
                <w:kern w:val="0"/>
                <w:sz w:val="22"/>
                <w:szCs w:val="22"/>
              </w:rPr>
              <w:t>=</w:t>
            </w:r>
            <w:r>
              <w:rPr>
                <w:rFonts w:ascii="宋体" w:hAnsi="宋体" w:cs="宋体"/>
                <w:color w:val="000000"/>
                <w:kern w:val="0"/>
                <w:sz w:val="22"/>
                <w:szCs w:val="22"/>
              </w:rPr>
              <w:t>（实际单位货储运成本</w:t>
            </w:r>
            <w:r>
              <w:rPr>
                <w:rFonts w:cs="宋体" w:ascii="宋体" w:hAnsi="宋体"/>
                <w:color w:val="000000"/>
                <w:kern w:val="0"/>
                <w:sz w:val="22"/>
                <w:szCs w:val="22"/>
              </w:rPr>
              <w:t>÷</w:t>
            </w:r>
            <w:r>
              <w:rPr>
                <w:rFonts w:ascii="宋体" w:hAnsi="宋体" w:cs="宋体"/>
                <w:color w:val="000000"/>
                <w:kern w:val="0"/>
                <w:sz w:val="22"/>
                <w:szCs w:val="22"/>
              </w:rPr>
              <w:t>计划单位货储运成本）</w:t>
            </w:r>
            <w:r>
              <w:rPr>
                <w:rFonts w:cs="宋体" w:ascii="宋体" w:hAnsi="宋体"/>
                <w:color w:val="000000"/>
                <w:kern w:val="0"/>
                <w:sz w:val="22"/>
                <w:szCs w:val="22"/>
              </w:rPr>
              <w:t xml:space="preserve">× 100%    </w:t>
              <w:br/>
            </w:r>
            <w:r>
              <w:rPr>
                <w:rFonts w:ascii="宋体" w:hAnsi="宋体" w:cs="宋体"/>
                <w:color w:val="000000"/>
                <w:kern w:val="0"/>
                <w:sz w:val="22"/>
                <w:szCs w:val="22"/>
              </w:rPr>
              <w:t>单位货储运成本指物资内部流转费用，主要包括人力和机械设备所耗费的费用，具体需要按物资品类确定费用控制率及考核标准。</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21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运输打包成本控制</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单位货物打包费用控制率</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单位货物打包成本费用控制率</w:t>
            </w:r>
            <w:r>
              <w:rPr>
                <w:rFonts w:cs="宋体" w:ascii="宋体" w:hAnsi="宋体"/>
                <w:color w:val="000000"/>
                <w:kern w:val="0"/>
                <w:sz w:val="22"/>
                <w:szCs w:val="22"/>
              </w:rPr>
              <w:t>=</w:t>
            </w:r>
            <w:r>
              <w:rPr>
                <w:rFonts w:ascii="宋体" w:hAnsi="宋体" w:cs="宋体"/>
                <w:color w:val="000000"/>
                <w:kern w:val="0"/>
                <w:sz w:val="22"/>
                <w:szCs w:val="22"/>
              </w:rPr>
              <w:t>（实际单位打包成本费用</w:t>
            </w:r>
            <w:r>
              <w:rPr>
                <w:rFonts w:cs="宋体" w:ascii="宋体" w:hAnsi="宋体"/>
                <w:color w:val="000000"/>
                <w:kern w:val="0"/>
                <w:sz w:val="22"/>
                <w:szCs w:val="22"/>
              </w:rPr>
              <w:t>÷</w:t>
            </w:r>
            <w:r>
              <w:rPr>
                <w:rFonts w:ascii="宋体" w:hAnsi="宋体" w:cs="宋体"/>
                <w:color w:val="000000"/>
                <w:kern w:val="0"/>
                <w:sz w:val="22"/>
                <w:szCs w:val="22"/>
              </w:rPr>
              <w:t>计划单位货物打包成本费用）</w:t>
            </w:r>
            <w:r>
              <w:rPr>
                <w:rFonts w:cs="宋体" w:ascii="宋体" w:hAnsi="宋体"/>
                <w:color w:val="000000"/>
                <w:kern w:val="0"/>
                <w:sz w:val="22"/>
                <w:szCs w:val="22"/>
              </w:rPr>
              <w:t>×100%</w:t>
            </w:r>
            <w:r>
              <w:rPr>
                <w:rFonts w:ascii="宋体" w:hAnsi="宋体" w:cs="宋体"/>
                <w:color w:val="000000"/>
                <w:kern w:val="0"/>
                <w:sz w:val="22"/>
                <w:szCs w:val="22"/>
              </w:rPr>
              <w:t>，打包成本费用主要指包装材料消耗费用、因包装造成货物耗损费用、人工费以及加班费等。</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运输打包员</w:t>
            </w:r>
            <w:r>
              <w:rPr>
                <w:rFonts w:cs="宋体" w:ascii="宋体" w:hAnsi="宋体"/>
                <w:color w:val="000000"/>
                <w:kern w:val="0"/>
                <w:sz w:val="20"/>
                <w:szCs w:val="20"/>
              </w:rPr>
              <w:t>/</w:t>
            </w:r>
            <w:r>
              <w:rPr>
                <w:rFonts w:ascii="宋体" w:hAnsi="宋体" w:cs="宋体"/>
                <w:color w:val="000000"/>
                <w:kern w:val="0"/>
                <w:sz w:val="20"/>
                <w:szCs w:val="20"/>
              </w:rPr>
              <w:t>部门主管以上</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21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货物装卸成本控制</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单位货物装卸费用控制率</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单位装卸费用控制率</w:t>
            </w:r>
            <w:r>
              <w:rPr>
                <w:rFonts w:cs="宋体" w:ascii="宋体" w:hAnsi="宋体"/>
                <w:color w:val="000000"/>
                <w:kern w:val="0"/>
                <w:sz w:val="22"/>
                <w:szCs w:val="22"/>
              </w:rPr>
              <w:t>=</w:t>
            </w:r>
            <w:r>
              <w:rPr>
                <w:rFonts w:ascii="宋体" w:hAnsi="宋体" w:cs="宋体"/>
                <w:color w:val="000000"/>
                <w:kern w:val="0"/>
                <w:sz w:val="22"/>
                <w:szCs w:val="22"/>
              </w:rPr>
              <w:t>（实际单位货物装卸成本</w:t>
            </w:r>
            <w:r>
              <w:rPr>
                <w:rFonts w:cs="宋体" w:ascii="宋体" w:hAnsi="宋体"/>
                <w:color w:val="000000"/>
                <w:kern w:val="0"/>
                <w:sz w:val="22"/>
                <w:szCs w:val="22"/>
              </w:rPr>
              <w:t>÷</w:t>
            </w:r>
            <w:r>
              <w:rPr>
                <w:rFonts w:ascii="宋体" w:hAnsi="宋体" w:cs="宋体"/>
                <w:color w:val="000000"/>
                <w:kern w:val="0"/>
                <w:sz w:val="22"/>
                <w:szCs w:val="22"/>
              </w:rPr>
              <w:t>计划单位货物装卸成本）</w:t>
            </w:r>
            <w:r>
              <w:rPr>
                <w:rFonts w:cs="宋体" w:ascii="宋体" w:hAnsi="宋体"/>
                <w:color w:val="000000"/>
                <w:kern w:val="0"/>
                <w:sz w:val="22"/>
                <w:szCs w:val="22"/>
              </w:rPr>
              <w:t>×100%</w:t>
            </w:r>
            <w:r>
              <w:rPr>
                <w:rFonts w:ascii="宋体" w:hAnsi="宋体" w:cs="宋体"/>
                <w:color w:val="000000"/>
                <w:kern w:val="0"/>
                <w:sz w:val="22"/>
                <w:szCs w:val="22"/>
              </w:rPr>
              <w:t>，运输费用主要指设备损耗、货物损耗、人工费以及加班费等。</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装卸作业人员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21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叉车作业成本控制</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单位货物转运费用控制率</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单位转运费用控制率</w:t>
            </w:r>
            <w:r>
              <w:rPr>
                <w:rFonts w:cs="宋体" w:ascii="宋体" w:hAnsi="宋体"/>
                <w:color w:val="000000"/>
                <w:kern w:val="0"/>
                <w:sz w:val="22"/>
                <w:szCs w:val="22"/>
              </w:rPr>
              <w:t>=</w:t>
            </w:r>
            <w:r>
              <w:rPr>
                <w:rFonts w:ascii="宋体" w:hAnsi="宋体" w:cs="宋体"/>
                <w:color w:val="000000"/>
                <w:kern w:val="0"/>
                <w:sz w:val="22"/>
                <w:szCs w:val="22"/>
              </w:rPr>
              <w:t>（实际单位货物转运成本</w:t>
            </w:r>
            <w:r>
              <w:rPr>
                <w:rFonts w:cs="宋体" w:ascii="宋体" w:hAnsi="宋体"/>
                <w:color w:val="000000"/>
                <w:kern w:val="0"/>
                <w:sz w:val="22"/>
                <w:szCs w:val="22"/>
              </w:rPr>
              <w:t>÷</w:t>
            </w:r>
            <w:r>
              <w:rPr>
                <w:rFonts w:ascii="宋体" w:hAnsi="宋体" w:cs="宋体"/>
                <w:color w:val="000000"/>
                <w:kern w:val="0"/>
                <w:sz w:val="22"/>
                <w:szCs w:val="22"/>
              </w:rPr>
              <w:t>计划单位货物转运成本）</w:t>
            </w:r>
            <w:r>
              <w:rPr>
                <w:rFonts w:cs="宋体" w:ascii="宋体" w:hAnsi="宋体"/>
                <w:color w:val="000000"/>
                <w:kern w:val="0"/>
                <w:sz w:val="22"/>
                <w:szCs w:val="22"/>
              </w:rPr>
              <w:t>×100%</w:t>
            </w:r>
            <w:r>
              <w:rPr>
                <w:rFonts w:ascii="宋体" w:hAnsi="宋体" w:cs="宋体"/>
                <w:color w:val="000000"/>
                <w:kern w:val="0"/>
                <w:sz w:val="22"/>
                <w:szCs w:val="22"/>
              </w:rPr>
              <w:t>，运输费用主要指物料消耗、车辆修理费、燃油费（或者耗电费用）、人工费以及加班费等。</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叉车作业人员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21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货物运输成本控制</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单位货物运输费用控制率</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单位运输费用控制率</w:t>
            </w:r>
            <w:r>
              <w:rPr>
                <w:rFonts w:cs="宋体" w:ascii="宋体" w:hAnsi="宋体"/>
                <w:color w:val="000000"/>
                <w:kern w:val="0"/>
                <w:sz w:val="22"/>
                <w:szCs w:val="22"/>
              </w:rPr>
              <w:t>=</w:t>
            </w:r>
            <w:r>
              <w:rPr>
                <w:rFonts w:ascii="宋体" w:hAnsi="宋体" w:cs="宋体"/>
                <w:color w:val="000000"/>
                <w:kern w:val="0"/>
                <w:sz w:val="22"/>
                <w:szCs w:val="22"/>
              </w:rPr>
              <w:t>（实际单位货物运输成本</w:t>
            </w:r>
            <w:r>
              <w:rPr>
                <w:rFonts w:cs="宋体" w:ascii="宋体" w:hAnsi="宋体"/>
                <w:color w:val="000000"/>
                <w:kern w:val="0"/>
                <w:sz w:val="22"/>
                <w:szCs w:val="22"/>
              </w:rPr>
              <w:t>÷</w:t>
            </w:r>
            <w:r>
              <w:rPr>
                <w:rFonts w:ascii="宋体" w:hAnsi="宋体" w:cs="宋体"/>
                <w:color w:val="000000"/>
                <w:kern w:val="0"/>
                <w:sz w:val="22"/>
                <w:szCs w:val="22"/>
              </w:rPr>
              <w:t>计划单位货物运输成本）</w:t>
            </w:r>
            <w:r>
              <w:rPr>
                <w:rFonts w:cs="宋体" w:ascii="宋体" w:hAnsi="宋体"/>
                <w:color w:val="000000"/>
                <w:kern w:val="0"/>
                <w:sz w:val="22"/>
                <w:szCs w:val="22"/>
              </w:rPr>
              <w:t>×100%</w:t>
            </w:r>
            <w:r>
              <w:rPr>
                <w:rFonts w:ascii="宋体" w:hAnsi="宋体" w:cs="宋体"/>
                <w:color w:val="000000"/>
                <w:kern w:val="0"/>
                <w:sz w:val="22"/>
                <w:szCs w:val="22"/>
              </w:rPr>
              <w:t>，运输费用主要指物料消耗、车辆修理费、燃油费、人工费以及加班费等。</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运输作业人员</w:t>
            </w:r>
            <w:r>
              <w:rPr>
                <w:rFonts w:cs="宋体" w:ascii="宋体" w:hAnsi="宋体"/>
                <w:color w:val="000000"/>
                <w:kern w:val="0"/>
                <w:sz w:val="20"/>
                <w:szCs w:val="20"/>
              </w:rPr>
              <w:t xml:space="preserve">/ </w:t>
            </w:r>
            <w:r>
              <w:rPr>
                <w:rFonts w:ascii="宋体" w:hAnsi="宋体" w:cs="宋体"/>
                <w:color w:val="000000"/>
                <w:kern w:val="0"/>
                <w:sz w:val="20"/>
                <w:szCs w:val="20"/>
              </w:rPr>
              <w:t>部门主管</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21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配送成本控制</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单位货物配送费用控制率</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单位货物配送费用控制率</w:t>
            </w:r>
            <w:r>
              <w:rPr>
                <w:rFonts w:cs="宋体" w:ascii="宋体" w:hAnsi="宋体"/>
                <w:color w:val="000000"/>
                <w:kern w:val="0"/>
                <w:sz w:val="22"/>
                <w:szCs w:val="22"/>
              </w:rPr>
              <w:t>=</w:t>
            </w:r>
            <w:r>
              <w:rPr>
                <w:rFonts w:ascii="宋体" w:hAnsi="宋体" w:cs="宋体"/>
                <w:color w:val="000000"/>
                <w:kern w:val="0"/>
                <w:sz w:val="22"/>
                <w:szCs w:val="22"/>
              </w:rPr>
              <w:t>（实际单位货物配送成本</w:t>
            </w:r>
            <w:r>
              <w:rPr>
                <w:rFonts w:cs="宋体" w:ascii="宋体" w:hAnsi="宋体"/>
                <w:color w:val="000000"/>
                <w:kern w:val="0"/>
                <w:sz w:val="22"/>
                <w:szCs w:val="22"/>
              </w:rPr>
              <w:t>÷</w:t>
            </w:r>
            <w:r>
              <w:rPr>
                <w:rFonts w:ascii="宋体" w:hAnsi="宋体" w:cs="宋体"/>
                <w:color w:val="000000"/>
                <w:kern w:val="0"/>
                <w:sz w:val="22"/>
                <w:szCs w:val="22"/>
              </w:rPr>
              <w:t>计划单位货物配送成本）</w:t>
            </w:r>
            <w:r>
              <w:rPr>
                <w:rFonts w:cs="宋体" w:ascii="宋体" w:hAnsi="宋体"/>
                <w:color w:val="000000"/>
                <w:kern w:val="0"/>
                <w:sz w:val="22"/>
                <w:szCs w:val="22"/>
              </w:rPr>
              <w:t>×100%</w:t>
            </w:r>
            <w:r>
              <w:rPr>
                <w:rFonts w:ascii="宋体" w:hAnsi="宋体" w:cs="宋体"/>
                <w:color w:val="000000"/>
                <w:kern w:val="0"/>
                <w:sz w:val="22"/>
                <w:szCs w:val="22"/>
              </w:rPr>
              <w:t>，配送成本主要指物料消耗、车辆修理费、燃油费（或者耗电费用）、人工费以及加班费等。</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配送员</w:t>
            </w:r>
            <w:r>
              <w:rPr>
                <w:rFonts w:cs="宋体" w:ascii="宋体" w:hAnsi="宋体"/>
                <w:color w:val="000000"/>
                <w:kern w:val="0"/>
                <w:sz w:val="20"/>
                <w:szCs w:val="20"/>
              </w:rPr>
              <w:t>/</w:t>
            </w:r>
            <w:r>
              <w:rPr>
                <w:rFonts w:ascii="宋体" w:hAnsi="宋体" w:cs="宋体"/>
                <w:color w:val="000000"/>
                <w:kern w:val="0"/>
                <w:sz w:val="20"/>
                <w:szCs w:val="20"/>
              </w:rPr>
              <w:t>部门主管</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4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tcBorders>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管理成本控制</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物流管理费用控制率</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物流管理费用控制率</w:t>
            </w:r>
            <w:r>
              <w:rPr>
                <w:rFonts w:cs="宋体" w:ascii="宋体" w:hAnsi="宋体"/>
                <w:color w:val="000000"/>
                <w:kern w:val="0"/>
                <w:sz w:val="22"/>
                <w:szCs w:val="22"/>
              </w:rPr>
              <w:t>=</w:t>
            </w:r>
            <w:r>
              <w:rPr>
                <w:rFonts w:ascii="宋体" w:hAnsi="宋体" w:cs="宋体"/>
                <w:color w:val="000000"/>
                <w:kern w:val="0"/>
                <w:sz w:val="22"/>
                <w:szCs w:val="22"/>
              </w:rPr>
              <w:t>当期实际费用</w:t>
            </w:r>
            <w:r>
              <w:rPr>
                <w:rFonts w:cs="宋体" w:ascii="宋体" w:hAnsi="宋体"/>
                <w:color w:val="000000"/>
                <w:kern w:val="0"/>
                <w:sz w:val="22"/>
                <w:szCs w:val="22"/>
              </w:rPr>
              <w:t>÷</w:t>
            </w:r>
            <w:r>
              <w:rPr>
                <w:rFonts w:ascii="宋体" w:hAnsi="宋体" w:cs="宋体"/>
                <w:color w:val="000000"/>
                <w:kern w:val="0"/>
                <w:sz w:val="22"/>
                <w:szCs w:val="22"/>
              </w:rPr>
              <w:t>当期预算费用</w:t>
            </w:r>
            <w:r>
              <w:rPr>
                <w:rFonts w:cs="宋体" w:ascii="宋体" w:hAnsi="宋体"/>
                <w:color w:val="000000"/>
                <w:kern w:val="0"/>
                <w:sz w:val="22"/>
                <w:szCs w:val="22"/>
              </w:rPr>
              <w:t>×lOO</w:t>
            </w:r>
            <w:r>
              <w:rPr>
                <w:rFonts w:ascii="宋体" w:hAnsi="宋体" w:cs="宋体"/>
                <w:color w:val="000000"/>
                <w:kern w:val="0"/>
                <w:sz w:val="22"/>
                <w:szCs w:val="22"/>
              </w:rPr>
              <w:t>％</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财务部、物流部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25" w:hRule="atLeast"/>
        </w:trPr>
        <w:tc>
          <w:tcPr>
            <w:tcW w:w="1300" w:type="dxa"/>
            <w:vMerge w:val="restart"/>
            <w:tcBorders>
              <w:start w:val="single" w:sz="8"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日常工作管理</w:t>
            </w:r>
          </w:p>
        </w:tc>
        <w:tc>
          <w:tcPr>
            <w:tcW w:w="1240"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计划与落实</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工作总结与计划</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每周、每月、每个季度、每年定期按照要求准时提交工作总结与计划，并进行汇报。</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要求阶段性管理规划或者工作计划做到合理性及其可行性，且得到领导认可。</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物流部、领导评价</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1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工作计划完成情况</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按照个人工作计划及公司要求，</w:t>
            </w:r>
            <w:r>
              <w:rPr>
                <w:rFonts w:cs="宋体" w:ascii="宋体" w:hAnsi="宋体"/>
                <w:color w:val="000000"/>
                <w:kern w:val="0"/>
                <w:sz w:val="22"/>
                <w:szCs w:val="22"/>
              </w:rPr>
              <w:t>100%</w:t>
            </w:r>
            <w:r>
              <w:rPr>
                <w:rFonts w:ascii="宋体" w:hAnsi="宋体" w:cs="宋体"/>
                <w:color w:val="000000"/>
                <w:kern w:val="0"/>
                <w:sz w:val="22"/>
                <w:szCs w:val="22"/>
              </w:rPr>
              <w:t>高质量完成工作任务。</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物流部、领导评价</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17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制度建立与执行</w:t>
            </w:r>
          </w:p>
        </w:tc>
        <w:tc>
          <w:tcPr>
            <w:tcW w:w="1580" w:type="dxa"/>
            <w:tcBorders>
              <w:top w:val="single" w:sz="4" w:space="0" w:color="000000"/>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制度与流程建设</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制度的完善性与有效性，流程的简化程度以及高效性。具体包括存货管理制度、仓储管理规定、物流运输管理制度、车辆使用管理制度、物流人员管理制度，等等。</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（应根据不同职位、不同岗位要求明确具体的制度建设内容。）</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物流部、领导评价</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4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物流管理制度的执行</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严格按照仓储物流管理制度与流程执行工作。</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物流部、领导评价</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33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台账管理</w:t>
            </w:r>
            <w:r>
              <w:rPr>
                <w:rFonts w:cs="宋体" w:ascii="宋体" w:hAnsi="宋体"/>
                <w:color w:val="000000"/>
                <w:kern w:val="0"/>
                <w:sz w:val="22"/>
                <w:szCs w:val="22"/>
              </w:rPr>
              <w:t>/</w:t>
            </w:r>
            <w:r>
              <w:rPr>
                <w:rFonts w:ascii="宋体" w:hAnsi="宋体" w:cs="宋体"/>
                <w:color w:val="000000"/>
                <w:kern w:val="0"/>
                <w:sz w:val="22"/>
                <w:szCs w:val="22"/>
              </w:rPr>
              <w:t>资料与信息管理</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资料整理的及时性及准确性</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对物流管理部门所有文档资料、数据与信息进行分类整理，要求做到资料分类准确、资料完整、数据信息准确无误。</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（包括进货单、发货单、交货验收单、运输作业日报表、运输作业月报表、盘点报表、</w:t>
            </w:r>
            <w:r>
              <w:rPr>
                <w:rFonts w:cs="宋体" w:ascii="宋体" w:hAnsi="宋体"/>
                <w:color w:val="000000"/>
                <w:kern w:val="0"/>
                <w:sz w:val="20"/>
                <w:szCs w:val="20"/>
              </w:rPr>
              <w:t>6S</w:t>
            </w:r>
            <w:r>
              <w:rPr>
                <w:rFonts w:ascii="宋体" w:hAnsi="宋体" w:cs="宋体"/>
                <w:color w:val="000000"/>
                <w:kern w:val="0"/>
                <w:sz w:val="20"/>
                <w:szCs w:val="20"/>
              </w:rPr>
              <w:t>检查表、安全检查表、车辆及物流设备信息、车辆维修记录表，等等。）</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物流部、领导评价</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6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信息传达的及时性及准确性</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按照公司管理制度及时、准确把重要数据、信息与资料进行汇报或者总结反馈，并向仓储部、市场部门等相关部门进行传达。</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物流部、领导评价</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59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团队管理</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员工满意度</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员工满意度达到</w:t>
            </w:r>
            <w:r>
              <w:rPr>
                <w:rFonts w:ascii="宋体" w:hAnsi="宋体" w:cs="宋体"/>
                <w:color w:val="000000"/>
                <w:kern w:val="0"/>
                <w:sz w:val="22"/>
                <w:szCs w:val="22"/>
                <w:u w:val="single"/>
              </w:rPr>
              <w:t xml:space="preserve">         。</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团队管理主要指培育、指导、考核部门员工；员工满意度是指团队成员对该公司或者部门的工作氛围、工作环境、领导风格、领导支持（学习发展、生活关爱、成长辅导支持）等方面的满意程度。</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物流部、人力资源部、员工满意度</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8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部门绩效考核</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绩效考核数据的准确率、完成的及时率。</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物流部、人力资源部、员工满意度</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84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组织或部门的凝聚力</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组织表现为较强的凝聚力，员工协同能力强。</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物流部、人力资源部、员工满意度</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3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组织执行力</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执行力强，计划、制度得到严格、高效执行。</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物流部、人力资源部、员工满意度</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4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员工能力提升及个人职业生涯规划发展</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员工能力得到大幅度提升，或者员工对个人职业生涯规划发展满意。</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学习与成长类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物流部、人力资源部、员工满意度</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部门主管以上</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42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cs="宋体" w:ascii="宋体" w:hAnsi="宋体"/>
                <w:color w:val="000000"/>
                <w:kern w:val="0"/>
                <w:sz w:val="22"/>
                <w:szCs w:val="22"/>
              </w:rPr>
              <w:t>6S</w:t>
            </w:r>
            <w:r>
              <w:rPr>
                <w:rFonts w:ascii="宋体" w:hAnsi="宋体" w:cs="宋体"/>
                <w:color w:val="000000"/>
                <w:kern w:val="0"/>
                <w:sz w:val="22"/>
                <w:szCs w:val="22"/>
              </w:rPr>
              <w:t>管理（包括安全）</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t>6S</w:t>
            </w:r>
            <w:r>
              <w:rPr>
                <w:rFonts w:ascii="宋体" w:hAnsi="宋体" w:cs="宋体"/>
                <w:color w:val="000000"/>
                <w:kern w:val="0"/>
                <w:sz w:val="22"/>
                <w:szCs w:val="22"/>
              </w:rPr>
              <w:t>管理</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检查时发现不良项，一项扣</w:t>
            </w:r>
            <w:r>
              <w:rPr>
                <w:rFonts w:cs="宋体" w:ascii="宋体" w:hAnsi="宋体"/>
                <w:color w:val="000000"/>
                <w:kern w:val="0"/>
                <w:sz w:val="22"/>
                <w:szCs w:val="22"/>
              </w:rPr>
              <w:t>1</w:t>
            </w:r>
            <w:r>
              <w:rPr>
                <w:rFonts w:ascii="宋体" w:hAnsi="宋体" w:cs="宋体"/>
                <w:color w:val="000000"/>
                <w:kern w:val="0"/>
                <w:sz w:val="22"/>
                <w:szCs w:val="22"/>
              </w:rPr>
              <w:t>分，最多扣</w:t>
            </w:r>
            <w:r>
              <w:rPr>
                <w:rFonts w:cs="宋体" w:ascii="宋体" w:hAnsi="宋体"/>
                <w:color w:val="000000"/>
                <w:kern w:val="0"/>
                <w:sz w:val="22"/>
                <w:szCs w:val="22"/>
              </w:rPr>
              <w:t>5</w:t>
            </w:r>
            <w:r>
              <w:rPr>
                <w:rFonts w:ascii="宋体" w:hAnsi="宋体" w:cs="宋体"/>
                <w:color w:val="000000"/>
                <w:kern w:val="0"/>
                <w:sz w:val="22"/>
                <w:szCs w:val="22"/>
              </w:rPr>
              <w:t>分。推行</w:t>
            </w:r>
            <w:r>
              <w:rPr>
                <w:rFonts w:cs="宋体" w:ascii="宋体" w:hAnsi="宋体"/>
                <w:color w:val="000000"/>
                <w:kern w:val="0"/>
                <w:sz w:val="22"/>
                <w:szCs w:val="22"/>
              </w:rPr>
              <w:t>6S</w:t>
            </w:r>
            <w:r>
              <w:rPr>
                <w:rFonts w:ascii="宋体" w:hAnsi="宋体" w:cs="宋体"/>
                <w:color w:val="000000"/>
                <w:kern w:val="0"/>
                <w:sz w:val="22"/>
                <w:szCs w:val="22"/>
              </w:rPr>
              <w:t>管理，按照计划实施各项检查工作，并及时进行改进。</w:t>
            </w:r>
            <w:r>
              <w:rPr>
                <w:rFonts w:ascii="宋体" w:hAnsi="宋体" w:cs="宋体"/>
                <w:color w:val="000000"/>
                <w:kern w:val="0"/>
                <w:sz w:val="20"/>
                <w:szCs w:val="20"/>
              </w:rPr>
              <w:t>（</w:t>
            </w:r>
            <w:r>
              <w:rPr>
                <w:rFonts w:cs="宋体" w:ascii="宋体" w:hAnsi="宋体"/>
                <w:color w:val="000000"/>
                <w:kern w:val="0"/>
                <w:sz w:val="20"/>
                <w:szCs w:val="20"/>
              </w:rPr>
              <w:t>6S</w:t>
            </w:r>
            <w:r>
              <w:rPr>
                <w:rFonts w:ascii="宋体" w:hAnsi="宋体" w:cs="宋体"/>
                <w:color w:val="000000"/>
                <w:kern w:val="0"/>
                <w:sz w:val="20"/>
                <w:szCs w:val="20"/>
              </w:rPr>
              <w:t>是指整理（</w:t>
            </w:r>
            <w:r>
              <w:rPr>
                <w:rFonts w:cs="宋体" w:ascii="宋体" w:hAnsi="宋体"/>
                <w:color w:val="000000"/>
                <w:kern w:val="0"/>
                <w:sz w:val="20"/>
                <w:szCs w:val="20"/>
              </w:rPr>
              <w:t>SEIRI</w:t>
            </w:r>
            <w:r>
              <w:rPr>
                <w:rFonts w:ascii="宋体" w:hAnsi="宋体" w:cs="宋体"/>
                <w:color w:val="000000"/>
                <w:kern w:val="0"/>
                <w:sz w:val="20"/>
                <w:szCs w:val="20"/>
              </w:rPr>
              <w:t>）、整顿（</w:t>
            </w:r>
            <w:r>
              <w:rPr>
                <w:rFonts w:cs="宋体" w:ascii="宋体" w:hAnsi="宋体"/>
                <w:color w:val="000000"/>
                <w:kern w:val="0"/>
                <w:sz w:val="20"/>
                <w:szCs w:val="20"/>
              </w:rPr>
              <w:t>SEITON</w:t>
            </w:r>
            <w:r>
              <w:rPr>
                <w:rFonts w:ascii="宋体" w:hAnsi="宋体" w:cs="宋体"/>
                <w:color w:val="000000"/>
                <w:kern w:val="0"/>
                <w:sz w:val="20"/>
                <w:szCs w:val="20"/>
              </w:rPr>
              <w:t>）、清扫（</w:t>
            </w:r>
            <w:r>
              <w:rPr>
                <w:rFonts w:cs="宋体" w:ascii="宋体" w:hAnsi="宋体"/>
                <w:color w:val="000000"/>
                <w:kern w:val="0"/>
                <w:sz w:val="20"/>
                <w:szCs w:val="20"/>
              </w:rPr>
              <w:t>SEISO</w:t>
            </w:r>
            <w:r>
              <w:rPr>
                <w:rFonts w:ascii="宋体" w:hAnsi="宋体" w:cs="宋体"/>
                <w:color w:val="000000"/>
                <w:kern w:val="0"/>
                <w:sz w:val="20"/>
                <w:szCs w:val="20"/>
              </w:rPr>
              <w:t>）、清洁（</w:t>
            </w:r>
            <w:r>
              <w:rPr>
                <w:rFonts w:cs="宋体" w:ascii="宋体" w:hAnsi="宋体"/>
                <w:color w:val="000000"/>
                <w:kern w:val="0"/>
                <w:sz w:val="20"/>
                <w:szCs w:val="20"/>
              </w:rPr>
              <w:t>SEIKETSU</w:t>
            </w:r>
            <w:r>
              <w:rPr>
                <w:rFonts w:ascii="宋体" w:hAnsi="宋体" w:cs="宋体"/>
                <w:color w:val="000000"/>
                <w:kern w:val="0"/>
                <w:sz w:val="20"/>
                <w:szCs w:val="20"/>
              </w:rPr>
              <w:t>）、素养（</w:t>
            </w:r>
            <w:r>
              <w:rPr>
                <w:rFonts w:cs="宋体" w:ascii="宋体" w:hAnsi="宋体"/>
                <w:color w:val="000000"/>
                <w:kern w:val="0"/>
                <w:sz w:val="20"/>
                <w:szCs w:val="20"/>
              </w:rPr>
              <w:t>SHITSUKE</w:t>
            </w:r>
            <w:r>
              <w:rPr>
                <w:rFonts w:ascii="宋体" w:hAnsi="宋体" w:cs="宋体"/>
                <w:color w:val="000000"/>
                <w:kern w:val="0"/>
                <w:sz w:val="20"/>
                <w:szCs w:val="20"/>
              </w:rPr>
              <w:t>）、安全（</w:t>
            </w:r>
            <w:r>
              <w:rPr>
                <w:rFonts w:cs="宋体" w:ascii="宋体" w:hAnsi="宋体"/>
                <w:color w:val="000000"/>
                <w:kern w:val="0"/>
                <w:sz w:val="20"/>
                <w:szCs w:val="20"/>
              </w:rPr>
              <w:t>SECURITY</w:t>
            </w:r>
            <w:r>
              <w:rPr>
                <w:rFonts w:ascii="宋体" w:hAnsi="宋体" w:cs="宋体"/>
                <w:color w:val="000000"/>
                <w:kern w:val="0"/>
                <w:sz w:val="20"/>
                <w:szCs w:val="20"/>
              </w:rPr>
              <w:t>））</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78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物流安全</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要求整个物流作业过程中零安全事故，出现一次事故，扣</w:t>
            </w:r>
            <w:r>
              <w:rPr>
                <w:rFonts w:cs="宋体" w:ascii="宋体" w:hAnsi="宋体"/>
                <w:color w:val="000000"/>
                <w:kern w:val="0"/>
                <w:sz w:val="22"/>
                <w:szCs w:val="22"/>
              </w:rPr>
              <w:t>5</w:t>
            </w:r>
            <w:r>
              <w:rPr>
                <w:rFonts w:ascii="宋体" w:hAnsi="宋体" w:cs="宋体"/>
                <w:color w:val="000000"/>
                <w:kern w:val="0"/>
                <w:sz w:val="22"/>
                <w:szCs w:val="22"/>
              </w:rPr>
              <w:t>分，最多扣</w:t>
            </w:r>
            <w:r>
              <w:rPr>
                <w:rFonts w:cs="宋体" w:ascii="宋体" w:hAnsi="宋体"/>
                <w:color w:val="000000"/>
                <w:kern w:val="0"/>
                <w:sz w:val="22"/>
                <w:szCs w:val="22"/>
              </w:rPr>
              <w:t>20</w:t>
            </w:r>
            <w:r>
              <w:rPr>
                <w:rFonts w:ascii="宋体" w:hAnsi="宋体" w:cs="宋体"/>
                <w:color w:val="000000"/>
                <w:kern w:val="0"/>
                <w:sz w:val="22"/>
                <w:szCs w:val="22"/>
              </w:rPr>
              <w:t>分。</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物流部、安全管理部门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945"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沟通管理</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沟通活动</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定期或者不定期举行工作例会、沟通会议、报告会议、问题协调讨论会等等，并及时解决各项问题。</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物流部、领导评价</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02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关系协调</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与其它部门、供应商、合作伙伴、客户等保持良好关系。</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主要表现为内部部门之间关系和谐、协同性强；与外部机构保持良好的沟通机制。企业内外部客户没有投诉现象。</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物流部、其它部门反馈、客户反馈</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300" w:type="dxa"/>
            <w:vMerge w:val="continue"/>
            <w:tcBorders>
              <w:start w:val="single" w:sz="8"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其它日常工作</w:t>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其它日常工作</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公司统一开展的活动或要求的事项是否按时完成。</w:t>
            </w:r>
          </w:p>
        </w:tc>
        <w:tc>
          <w:tcPr>
            <w:tcW w:w="2268"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内部营运类</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300" w:type="dxa"/>
            <w:vMerge w:val="restart"/>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center"/>
              <w:rPr>
                <w:rFonts w:ascii="宋体" w:hAnsi="宋体" w:cs="宋体"/>
                <w:b/>
                <w:b/>
                <w:bCs/>
                <w:color w:val="000000"/>
                <w:kern w:val="0"/>
                <w:sz w:val="22"/>
                <w:szCs w:val="22"/>
              </w:rPr>
            </w:pPr>
            <w:r>
              <w:rPr>
                <w:rFonts w:ascii="宋体" w:hAnsi="宋体" w:cs="宋体"/>
                <w:b/>
                <w:bCs/>
                <w:color w:val="000000"/>
                <w:kern w:val="0"/>
                <w:sz w:val="22"/>
                <w:szCs w:val="22"/>
              </w:rPr>
              <w:t>知识、技能与品质</w:t>
            </w:r>
          </w:p>
        </w:tc>
        <w:tc>
          <w:tcPr>
            <w:tcW w:w="1240" w:type="dxa"/>
            <w:vMerge w:val="restart"/>
            <w:tcBorders>
              <w:start w:val="single" w:sz="4" w:space="0" w:color="000000"/>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领导力</w:t>
            </w:r>
          </w:p>
        </w:tc>
        <w:tc>
          <w:tcPr>
            <w:tcW w:w="158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成就特征</w:t>
            </w:r>
          </w:p>
        </w:tc>
        <w:tc>
          <w:tcPr>
            <w:tcW w:w="4243"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成就导向、积极主动性。</w:t>
            </w:r>
          </w:p>
        </w:tc>
        <w:tc>
          <w:tcPr>
            <w:tcW w:w="2268"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物流部、人力资源部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服务与助人特征</w:t>
            </w:r>
          </w:p>
        </w:tc>
        <w:tc>
          <w:tcPr>
            <w:tcW w:w="4243"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顾客服务能力。</w:t>
            </w:r>
          </w:p>
        </w:tc>
        <w:tc>
          <w:tcPr>
            <w:tcW w:w="2268"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物流部、人力资源部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影响特征</w:t>
            </w:r>
          </w:p>
        </w:tc>
        <w:tc>
          <w:tcPr>
            <w:tcW w:w="4243"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影响力、关系建立能力。</w:t>
            </w:r>
          </w:p>
        </w:tc>
        <w:tc>
          <w:tcPr>
            <w:tcW w:w="2268"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物流部、人力资源部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管理特征</w:t>
            </w:r>
          </w:p>
        </w:tc>
        <w:tc>
          <w:tcPr>
            <w:tcW w:w="4243"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决策力、组织领导能力、培训他人能力、团队协作能力、建立信任与尊重。</w:t>
            </w:r>
          </w:p>
        </w:tc>
        <w:tc>
          <w:tcPr>
            <w:tcW w:w="2268"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物流部、人力资源部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认知特征</w:t>
            </w:r>
          </w:p>
        </w:tc>
        <w:tc>
          <w:tcPr>
            <w:tcW w:w="4243"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专业知识、经验与技能、分析思考能力、创新与变革能力。</w:t>
            </w:r>
          </w:p>
        </w:tc>
        <w:tc>
          <w:tcPr>
            <w:tcW w:w="2268"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物流部、人力资源部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600"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4"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个人特征</w:t>
            </w:r>
          </w:p>
        </w:tc>
        <w:tc>
          <w:tcPr>
            <w:tcW w:w="4243" w:type="dxa"/>
            <w:tcBorders>
              <w:bottom w:val="single" w:sz="4" w:space="0" w:color="000000"/>
              <w:end w:val="single" w:sz="4" w:space="0" w:color="000000"/>
            </w:tcBorders>
            <w:shd w:color="000000" w:fill="FFFFFF"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诚实正直、自信心、专业学习能力、适应能力、预测与应对能力、组织认同。</w:t>
            </w:r>
          </w:p>
        </w:tc>
        <w:tc>
          <w:tcPr>
            <w:tcW w:w="2268"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详见《领导力核心素质模型库》相关说明</w:t>
            </w:r>
          </w:p>
        </w:tc>
        <w:tc>
          <w:tcPr>
            <w:tcW w:w="1240"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物流部、人力资源部</w:t>
            </w:r>
          </w:p>
        </w:tc>
        <w:tc>
          <w:tcPr>
            <w:tcW w:w="1301"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部门经理以上</w:t>
            </w:r>
          </w:p>
        </w:tc>
        <w:tc>
          <w:tcPr>
            <w:tcW w:w="966" w:type="dxa"/>
            <w:tcBorders>
              <w:bottom w:val="single" w:sz="4" w:space="0" w:color="000000"/>
              <w:end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r>
      <w:tr>
        <w:trPr>
          <w:trHeight w:val="1155"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restart"/>
            <w:tcBorders>
              <w:start w:val="single" w:sz="4" w:space="0" w:color="000000"/>
              <w:bottom w:val="single" w:sz="8"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2"/>
                <w:szCs w:val="22"/>
              </w:rPr>
            </w:pPr>
            <w:r>
              <w:rPr>
                <w:rFonts w:ascii="宋体" w:hAnsi="宋体" w:cs="宋体"/>
                <w:color w:val="000000"/>
                <w:kern w:val="0"/>
                <w:sz w:val="22"/>
                <w:szCs w:val="22"/>
              </w:rPr>
              <w:t>一般要求的知识、技能与品质</w:t>
            </w:r>
          </w:p>
        </w:tc>
        <w:tc>
          <w:tcPr>
            <w:tcW w:w="1580" w:type="dxa"/>
            <w:tcBorders>
              <w:bottom w:val="single" w:sz="4"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知识与技能</w:t>
            </w:r>
          </w:p>
        </w:tc>
        <w:tc>
          <w:tcPr>
            <w:tcW w:w="4243"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岗位要求所必须的知识（基础知识、业务知识、关联知识）及技能水平（包括分析判断能力、沟通能力、问题解决能力、团队合作精神以及协调性）。</w:t>
            </w:r>
          </w:p>
        </w:tc>
        <w:tc>
          <w:tcPr>
            <w:tcW w:w="2268" w:type="dxa"/>
            <w:tcBorders>
              <w:bottom w:val="single" w:sz="4" w:space="0" w:color="000000"/>
              <w:end w:val="single" w:sz="4" w:space="0" w:color="000000"/>
            </w:tcBorders>
            <w:shd w:color="auto" w:fill="auto"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　</w:t>
            </w:r>
          </w:p>
        </w:tc>
        <w:tc>
          <w:tcPr>
            <w:tcW w:w="1240" w:type="dxa"/>
            <w:tcBorders>
              <w:bottom w:val="single" w:sz="4" w:space="0" w:color="000000"/>
              <w:end w:val="single" w:sz="4" w:space="0" w:color="000000"/>
            </w:tcBorders>
            <w:shd w:color="auto" w:fill="auto"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45"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4"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物流部、人力资源部</w:t>
            </w:r>
          </w:p>
        </w:tc>
        <w:tc>
          <w:tcPr>
            <w:tcW w:w="1301" w:type="dxa"/>
            <w:tcBorders>
              <w:bottom w:val="single" w:sz="4" w:space="0" w:color="000000"/>
            </w:tcBorders>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66" w:type="dxa"/>
            <w:tcBorders>
              <w:start w:val="single" w:sz="4" w:space="0" w:color="000000"/>
              <w:bottom w:val="single" w:sz="4" w:space="0" w:color="000000"/>
              <w:end w:val="single" w:sz="8" w:space="0" w:color="000000"/>
            </w:tcBorders>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r>
      <w:tr>
        <w:trPr>
          <w:trHeight w:val="1170" w:hRule="atLeast"/>
        </w:trPr>
        <w:tc>
          <w:tcPr>
            <w:tcW w:w="1300" w:type="dxa"/>
            <w:vMerge w:val="continue"/>
            <w:tcBorders>
              <w:start w:val="single" w:sz="8"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b/>
                <w:b/>
                <w:bCs/>
                <w:color w:val="000000"/>
                <w:kern w:val="0"/>
                <w:sz w:val="22"/>
                <w:szCs w:val="22"/>
              </w:rPr>
            </w:pPr>
            <w:r>
              <w:rPr>
                <w:rFonts w:cs="宋体" w:ascii="宋体" w:hAnsi="宋体"/>
                <w:b/>
                <w:bCs/>
                <w:color w:val="000000"/>
                <w:kern w:val="0"/>
                <w:sz w:val="22"/>
                <w:szCs w:val="22"/>
              </w:rPr>
            </w:r>
          </w:p>
        </w:tc>
        <w:tc>
          <w:tcPr>
            <w:tcW w:w="1240" w:type="dxa"/>
            <w:vMerge w:val="continue"/>
            <w:tcBorders>
              <w:start w:val="single" w:sz="4" w:space="0" w:color="000000"/>
              <w:bottom w:val="single" w:sz="8" w:space="0" w:color="000000"/>
              <w:end w:val="single" w:sz="4" w:space="0" w:color="000000"/>
            </w:tcBorders>
            <w:shd w:color="auto" w:fill="auto" w:val="clear"/>
            <w:vAlign w:val="center"/>
          </w:tcPr>
          <w:p>
            <w:pPr>
              <w:pStyle w:val="Normal"/>
              <w:widowControl w:val="false"/>
              <w:bidi w:val="0"/>
              <w:jc w:val="start"/>
              <w:rPr>
                <w:rFonts w:ascii="宋体" w:hAnsi="宋体" w:cs="宋体"/>
                <w:color w:val="000000"/>
                <w:kern w:val="0"/>
                <w:sz w:val="22"/>
                <w:szCs w:val="22"/>
              </w:rPr>
            </w:pPr>
            <w:r>
              <w:rPr>
                <w:rFonts w:cs="宋体" w:ascii="宋体" w:hAnsi="宋体"/>
                <w:color w:val="000000"/>
                <w:kern w:val="0"/>
                <w:sz w:val="22"/>
                <w:szCs w:val="22"/>
              </w:rPr>
            </w:r>
          </w:p>
        </w:tc>
        <w:tc>
          <w:tcPr>
            <w:tcW w:w="1580" w:type="dxa"/>
            <w:tcBorders>
              <w:bottom w:val="single" w:sz="8" w:space="0" w:color="000000"/>
              <w:end w:val="single" w:sz="4" w:space="0" w:color="000000"/>
            </w:tcBorders>
            <w:shd w:color="000000" w:fill="FFFFFF" w:val="clear"/>
            <w:vAlign w:val="center"/>
          </w:tcPr>
          <w:p>
            <w:pPr>
              <w:pStyle w:val="Normal"/>
              <w:widowControl w:val="false"/>
              <w:bidi w:val="0"/>
              <w:jc w:val="start"/>
              <w:rPr>
                <w:rFonts w:ascii="宋体" w:hAnsi="宋体" w:cs="宋体"/>
                <w:color w:val="000000"/>
                <w:kern w:val="0"/>
                <w:sz w:val="22"/>
                <w:szCs w:val="22"/>
              </w:rPr>
            </w:pPr>
            <w:r>
              <w:rPr>
                <w:rFonts w:ascii="宋体" w:hAnsi="宋体" w:cs="宋体"/>
                <w:color w:val="000000"/>
                <w:kern w:val="0"/>
                <w:sz w:val="22"/>
                <w:szCs w:val="22"/>
              </w:rPr>
              <w:t>愿望与态度</w:t>
            </w:r>
          </w:p>
        </w:tc>
        <w:tc>
          <w:tcPr>
            <w:tcW w:w="4243" w:type="dxa"/>
            <w:tcBorders>
              <w:bottom w:val="single" w:sz="8" w:space="0" w:color="000000"/>
              <w:end w:val="single" w:sz="4" w:space="0" w:color="000000"/>
            </w:tcBorders>
            <w:shd w:color="000000" w:fill="FFFFFF" w:val="clear"/>
            <w:vAlign w:val="center"/>
          </w:tcPr>
          <w:p>
            <w:pPr>
              <w:pStyle w:val="Normal"/>
              <w:widowControl w:val="false"/>
              <w:bidi w:val="0"/>
              <w:rPr>
                <w:rFonts w:ascii="宋体" w:hAnsi="宋体" w:cs="宋体"/>
                <w:color w:val="000000"/>
                <w:kern w:val="0"/>
                <w:sz w:val="22"/>
                <w:szCs w:val="22"/>
              </w:rPr>
            </w:pPr>
            <w:r>
              <w:rPr>
                <w:rFonts w:ascii="宋体" w:hAnsi="宋体" w:cs="宋体"/>
                <w:color w:val="000000"/>
                <w:kern w:val="0"/>
                <w:sz w:val="22"/>
                <w:szCs w:val="22"/>
              </w:rPr>
              <w:t>主要指公司要求的通用类素质（公司可根据自我需求进行调整），例如创新与改善能力、诚信正直、责任感、纪律性、工作热情、服务态度等等。</w:t>
            </w:r>
          </w:p>
        </w:tc>
        <w:tc>
          <w:tcPr>
            <w:tcW w:w="2268" w:type="dxa"/>
            <w:tcBorders>
              <w:bottom w:val="single" w:sz="8" w:space="0" w:color="000000"/>
              <w:end w:val="single" w:sz="4" w:space="0" w:color="000000"/>
            </w:tcBorders>
            <w:shd w:color="000000" w:fill="FFFFFF" w:val="clear"/>
            <w:vAlign w:val="center"/>
          </w:tcPr>
          <w:p>
            <w:pPr>
              <w:pStyle w:val="Normal"/>
              <w:widowControl w:val="false"/>
              <w:bidi w:val="0"/>
              <w:rPr>
                <w:rFonts w:ascii="宋体" w:hAnsi="宋体" w:cs="宋体"/>
                <w:color w:val="000000"/>
                <w:kern w:val="0"/>
                <w:sz w:val="20"/>
                <w:szCs w:val="20"/>
              </w:rPr>
            </w:pPr>
            <w:r>
              <w:rPr>
                <w:rFonts w:ascii="宋体" w:hAnsi="宋体" w:cs="宋体"/>
                <w:color w:val="000000"/>
                <w:kern w:val="0"/>
                <w:sz w:val="20"/>
                <w:szCs w:val="20"/>
              </w:rPr>
              <w:t>　</w:t>
            </w:r>
          </w:p>
        </w:tc>
        <w:tc>
          <w:tcPr>
            <w:tcW w:w="1240" w:type="dxa"/>
            <w:tcBorders>
              <w:bottom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　</w:t>
            </w:r>
          </w:p>
        </w:tc>
        <w:tc>
          <w:tcPr>
            <w:tcW w:w="745" w:type="dxa"/>
            <w:tcBorders>
              <w:bottom w:val="single" w:sz="8" w:space="0" w:color="000000"/>
              <w:end w:val="single" w:sz="4"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年</w:t>
            </w:r>
            <w:r>
              <w:rPr>
                <w:rFonts w:cs="宋体" w:ascii="宋体" w:hAnsi="宋体"/>
                <w:color w:val="000000"/>
                <w:kern w:val="0"/>
                <w:sz w:val="20"/>
                <w:szCs w:val="20"/>
              </w:rPr>
              <w:t>/</w:t>
            </w:r>
            <w:r>
              <w:rPr>
                <w:rFonts w:ascii="宋体" w:hAnsi="宋体" w:cs="宋体"/>
                <w:color w:val="000000"/>
                <w:kern w:val="0"/>
                <w:sz w:val="20"/>
                <w:szCs w:val="20"/>
              </w:rPr>
              <w:t>月</w:t>
            </w:r>
          </w:p>
        </w:tc>
        <w:tc>
          <w:tcPr>
            <w:tcW w:w="1134" w:type="dxa"/>
            <w:tcBorders>
              <w:bottom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物流部、人力资源部</w:t>
            </w:r>
          </w:p>
        </w:tc>
        <w:tc>
          <w:tcPr>
            <w:tcW w:w="1301" w:type="dxa"/>
            <w:tcBorders>
              <w:start w:val="single" w:sz="4" w:space="0" w:color="000000"/>
              <w:bottom w:val="single" w:sz="8" w:space="0" w:color="000000"/>
            </w:tcBorders>
            <w:shd w:color="000000" w:fill="FFFFFF" w:val="clear"/>
            <w:vAlign w:val="center"/>
          </w:tcPr>
          <w:p>
            <w:pPr>
              <w:pStyle w:val="Normal"/>
              <w:widowControl w:val="false"/>
              <w:bidi w:val="0"/>
              <w:jc w:val="center"/>
              <w:rPr>
                <w:rFonts w:ascii="宋体" w:hAnsi="宋体" w:cs="宋体"/>
                <w:color w:val="000000"/>
                <w:kern w:val="0"/>
                <w:sz w:val="20"/>
                <w:szCs w:val="20"/>
              </w:rPr>
            </w:pPr>
            <w:r>
              <w:rPr>
                <w:rFonts w:ascii="宋体" w:hAnsi="宋体" w:cs="宋体"/>
                <w:color w:val="000000"/>
                <w:kern w:val="0"/>
                <w:sz w:val="20"/>
                <w:szCs w:val="20"/>
              </w:rPr>
              <w:t>通用</w:t>
            </w:r>
          </w:p>
        </w:tc>
        <w:tc>
          <w:tcPr>
            <w:tcW w:w="966" w:type="dxa"/>
            <w:tcBorders>
              <w:start w:val="single" w:sz="4" w:space="0" w:color="000000"/>
              <w:bottom w:val="single" w:sz="8" w:space="0" w:color="000000"/>
              <w:end w:val="single" w:sz="8" w:space="0" w:color="000000"/>
            </w:tcBorders>
            <w:shd w:color="000000" w:fill="FFFFFF" w:val="clear"/>
            <w:vAlign w:val="center"/>
          </w:tcPr>
          <w:p>
            <w:pPr>
              <w:pStyle w:val="Normal"/>
              <w:widowControl w:val="false"/>
              <w:bidi w:val="0"/>
              <w:jc w:val="start"/>
              <w:rPr>
                <w:rFonts w:ascii="宋体" w:hAnsi="宋体" w:cs="宋体"/>
                <w:color w:val="000000"/>
                <w:kern w:val="0"/>
                <w:sz w:val="20"/>
                <w:szCs w:val="20"/>
              </w:rPr>
            </w:pPr>
            <w:r>
              <w:rPr>
                <w:rFonts w:ascii="宋体" w:hAnsi="宋体" w:cs="宋体"/>
                <w:color w:val="000000"/>
                <w:kern w:val="0"/>
                <w:sz w:val="20"/>
                <w:szCs w:val="20"/>
              </w:rPr>
              <w:t>　</w:t>
            </w:r>
          </w:p>
        </w:tc>
      </w:tr>
    </w:tbl>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Fonts w:eastAsia="楷体_GB2312" w:ascii="楷体_GB2312" w:hAnsi="楷体_GB2312"/>
          <w:sz w:val="24"/>
        </w:rPr>
      </w:r>
    </w:p>
    <w:p>
      <w:pPr>
        <w:pStyle w:val="Normal"/>
        <w:bidi w:val="0"/>
        <w:spacing w:lineRule="exact" w:line="360"/>
        <w:ind w:start="-424" w:end="-567" w:firstLine="468"/>
        <w:jc w:val="start"/>
        <w:rPr>
          <w:rFonts w:ascii="楷体_GB2312" w:hAnsi="楷体_GB2312" w:eastAsia="楷体_GB2312"/>
          <w:sz w:val="24"/>
        </w:rPr>
      </w:pPr>
      <w:r>
        <w:rPr/>
      </w:r>
    </w:p>
    <w:sectPr>
      <w:headerReference w:type="default" r:id="rId7"/>
      <w:footerReference w:type="default" r:id="rId8"/>
      <w:type w:val="nextPage"/>
      <w:pgSz w:orient="landscape" w:w="16838" w:h="11906"/>
      <w:pgMar w:left="1021" w:right="1440" w:header="567" w:top="1701" w:footer="992" w:bottom="1701" w:gutter="0"/>
      <w:pgNumType w:fmt="decimal"/>
      <w:formProt w:val="false"/>
      <w:textDirection w:val="lrTb"/>
      <w:docGrid w:type="linesAndChar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Cambria">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 w:name="宋体">
    <w:charset w:val="01" w:characterSet="utf-8"/>
    <w:family w:val="roman"/>
    <w:pitch w:val="variable"/>
  </w:font>
  <w:font w:name="黑体">
    <w:charset w:val="01" w:characterSet="utf-8"/>
    <w:family w:val="roman"/>
    <w:pitch w:val="variable"/>
  </w:font>
  <w:font w:name="微软雅黑">
    <w:charset w:val="01" w:characterSet="utf-8"/>
    <w:family w:val="roman"/>
    <w:pitch w:val="variable"/>
  </w:font>
  <w:font w:name="楷体_GB2312">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start"/>
      <w:rPr>
        <w:color w:val="333333"/>
        <w:u w:val="single"/>
      </w:rPr>
    </w:pPr>
    <w:r>
      <w:rPr>
        <w:color w:val="333333"/>
        <w:u w:val="single"/>
      </w:rPr>
    </w:r>
  </w:p>
  <w:p>
    <w:pPr>
      <w:pStyle w:val="Footer"/>
      <w:bidi w:val="0"/>
      <w:jc w:val="center"/>
      <w:rPr>
        <w:color w:val="333333"/>
        <w:u w:val="single"/>
      </w:rPr>
    </w:pPr>
    <w:r>
      <w:rPr>
        <w:color w:val="333333"/>
        <w:u w:val="single"/>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start"/>
      <w:rPr>
        <w:color w:val="333333"/>
        <w:u w:val="single"/>
      </w:rPr>
    </w:pPr>
    <w:r>
      <w:rPr>
        <w:color w:val="333333"/>
        <w:u w:val="single"/>
      </w:rPr>
    </w:r>
  </w:p>
  <w:p>
    <w:pPr>
      <w:pStyle w:val="Footer"/>
      <w:bidi w:val="0"/>
      <w:jc w:val="center"/>
      <w:rPr>
        <w:color w:val="333333"/>
        <w:u w:val="single"/>
      </w:rPr>
    </w:pPr>
    <w:r>
      <w:rPr>
        <w:color w:val="333333"/>
        <w:u w:val="single"/>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bidi w:val="0"/>
      <w:jc w:val="start"/>
      <w:rPr>
        <w:color w:val="333333"/>
        <w:u w:val="single"/>
      </w:rPr>
    </w:pPr>
    <w:r>
      <w:rPr>
        <w:color w:val="333333"/>
        <w:u w:val="single"/>
      </w:rPr>
    </w:r>
  </w:p>
  <w:p>
    <w:pPr>
      <w:pStyle w:val="Footer"/>
      <w:bidi w:val="0"/>
      <w:jc w:val="center"/>
      <w:rPr>
        <w:color w:val="333333"/>
        <w:u w:val="single"/>
      </w:rPr>
    </w:pPr>
    <w:r>
      <w:rPr>
        <w:color w:val="333333"/>
        <w:u w:val="singl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ind w:start="-1" w:hanging="140"/>
      <w:jc w:val="both"/>
      <w:rPr>
        <w:rFonts w:ascii="黑体" w:hAnsi="黑体" w:eastAsia="黑体" w:cs="宋体"/>
        <w:bCs/>
        <w:kern w:val="0"/>
        <w:sz w:val="36"/>
        <w:szCs w:val="36"/>
      </w:rPr>
    </w:pPr>
    <w:r>
      <w:rPr>
        <w:rFonts w:eastAsia="黑体" w:cs="宋体" w:ascii="黑体" w:hAnsi="黑体"/>
        <w:bCs/>
        <w:kern w:val="0"/>
        <w:sz w:val="36"/>
        <w:szCs w:val="36"/>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ind w:start="-1" w:hanging="140"/>
      <w:jc w:val="both"/>
      <w:rPr>
        <w:rFonts w:ascii="黑体" w:hAnsi="黑体" w:eastAsia="黑体" w:cs="宋体"/>
        <w:bCs/>
        <w:kern w:val="0"/>
        <w:sz w:val="36"/>
        <w:szCs w:val="36"/>
      </w:rPr>
    </w:pPr>
    <w:r>
      <w:rPr>
        <w:rFonts w:eastAsia="黑体" w:cs="宋体" w:ascii="黑体" w:hAnsi="黑体"/>
        <w:bCs/>
        <w:kern w:val="0"/>
        <w:sz w:val="36"/>
        <w:szCs w:val="36"/>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bidi w:val="0"/>
      <w:ind w:start="-1" w:hanging="140"/>
      <w:jc w:val="both"/>
      <w:rPr>
        <w:rFonts w:ascii="黑体" w:hAnsi="黑体" w:eastAsia="黑体" w:cs="宋体"/>
        <w:bCs/>
        <w:kern w:val="0"/>
        <w:sz w:val="36"/>
        <w:szCs w:val="36"/>
      </w:rPr>
    </w:pPr>
    <w:r>
      <w:rPr>
        <w:rFonts w:eastAsia="黑体" w:cs="宋体" w:ascii="黑体" w:hAnsi="黑体"/>
        <w:bCs/>
        <w:kern w:val="0"/>
        <w:sz w:val="36"/>
        <w:szCs w:val="3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hineseCountingThousand"/>
      <w:suff w:val="nothing"/>
      <w:lvlText w:val="第%1章  "/>
      <w:lvlJc w:val="start"/>
      <w:pPr>
        <w:tabs>
          <w:tab w:val="num" w:pos="0"/>
        </w:tabs>
        <w:ind w:start="0" w:hanging="0"/>
      </w:pPr>
      <w:rPr>
        <w:sz w:val="48"/>
        <w:i w:val="false"/>
        <w:b/>
        <w:rFonts w:ascii="楷体_GB2312" w:hAnsi="楷体_GB2312" w:eastAsia="楷体_GB2312"/>
      </w:rPr>
    </w:lvl>
    <w:lvl w:ilvl="1">
      <w:start w:val="1"/>
      <w:pStyle w:val="Heading2"/>
      <w:numFmt w:val="chineseCountingThousand"/>
      <w:suff w:val="nothing"/>
      <w:lvlText w:val="第%2节  "/>
      <w:lvlJc w:val="start"/>
      <w:pPr>
        <w:tabs>
          <w:tab w:val="num" w:pos="0"/>
        </w:tabs>
        <w:ind w:start="0" w:hanging="0"/>
      </w:pPr>
      <w:rPr>
        <w:smallCaps w:val="false"/>
        <w:caps w:val="false"/>
        <w:outline w:val="false"/>
        <w:dstrike w:val="false"/>
        <w:strike w:val="false"/>
        <w:sz w:val="32"/>
        <w:i w:val="false"/>
        <w:shadow w:val="false"/>
        <w:b/>
        <w:kern w:val="0"/>
        <w:rFonts w:ascii="楷体_GB2312" w:hAnsi="楷体_GB2312" w:eastAsia="楷体_GB2312"/>
      </w:rPr>
    </w:lvl>
    <w:lvl w:ilvl="2">
      <w:start w:val="1"/>
      <w:pStyle w:val="Heading3"/>
      <w:numFmt w:val="chineseCountingThousand"/>
      <w:suff w:val="nothing"/>
      <w:lvlText w:val="%3、"/>
      <w:lvlJc w:val="start"/>
      <w:pPr>
        <w:tabs>
          <w:tab w:val="num" w:pos="0"/>
        </w:tabs>
        <w:ind w:start="624" w:hanging="624"/>
      </w:pPr>
      <w:rPr>
        <w:sz w:val="28"/>
        <w:i w:val="false"/>
        <w:b w:val="false"/>
        <w:rFonts w:ascii="楷体_GB2312" w:hAnsi="楷体_GB2312" w:eastAsia="楷体_GB2312"/>
      </w:rPr>
    </w:lvl>
    <w:lvl w:ilvl="3">
      <w:start w:val="1"/>
      <w:pStyle w:val="Heading4"/>
      <w:numFmt w:val="chineseCountingThousand"/>
      <w:suff w:val="nothing"/>
      <w:lvlText w:val="（%4）"/>
      <w:lvlJc w:val="center"/>
      <w:pPr>
        <w:tabs>
          <w:tab w:val="num" w:pos="0"/>
        </w:tabs>
        <w:ind w:start="964" w:hanging="397"/>
      </w:pPr>
      <w:rPr>
        <w:sz w:val="28"/>
        <w:i w:val="false"/>
        <w:b w:val="false"/>
        <w:rFonts w:ascii="黑体" w:hAnsi="黑体" w:eastAsia="黑体"/>
      </w:rPr>
    </w:lvl>
    <w:lvl w:ilvl="4">
      <w:start w:val="1"/>
      <w:pStyle w:val="Heading5"/>
      <w:numFmt w:val="decimal"/>
      <w:suff w:val="nothing"/>
      <w:lvlText w:val="%5、"/>
      <w:lvlJc w:val="start"/>
      <w:pPr>
        <w:tabs>
          <w:tab w:val="num" w:pos="0"/>
        </w:tabs>
        <w:ind w:start="907" w:hanging="453"/>
      </w:pPr>
      <w:rPr>
        <w:sz w:val="24"/>
        <w:i w:val="false"/>
        <w:b w:val="false"/>
        <w:rFonts w:ascii="宋体" w:hAnsi="宋体" w:eastAsia="宋体"/>
      </w:rPr>
    </w:lvl>
    <w:lvl w:ilvl="5">
      <w:start w:val="1"/>
      <w:pStyle w:val="Heading6"/>
      <w:numFmt w:val="decimal"/>
      <w:suff w:val="nothing"/>
      <w:lvlText w:val="（%6）"/>
      <w:lvlJc w:val="start"/>
      <w:pPr>
        <w:tabs>
          <w:tab w:val="num" w:pos="0"/>
        </w:tabs>
        <w:ind w:start="1474" w:hanging="623"/>
      </w:pPr>
      <w:rPr>
        <w:sz w:val="24"/>
        <w:i w:val="false"/>
        <w:b w:val="false"/>
        <w:rFonts w:ascii="宋体" w:hAnsi="宋体" w:eastAsia="宋体"/>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60"/>
  <w:defaultTabStop w:val="420"/>
  <w:autoHyphenation w:val="true"/>
  <w:compat>
    <w:doNotExpandShiftReturn/>
    <w:compatSetting w:name="compatibilityMode" w:uri="http://schemas.microsoft.com/office/word" w:val="1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Times New Roman"/>
        <w:lang w:val="en-US"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unhideWhenUsed="0" w:qFormat="1"/>
    <w:lsdException w:name="heading 4" w:uiPriority="0" w:semiHidden="0" w:unhideWhenUsed="0" w:qFormat="1"/>
    <w:lsdException w:name="heading 5" w:uiPriority="0" w:semiHidden="0" w:unhideWhenUsed="0" w:qFormat="1"/>
    <w:lsdException w:name="heading 6" w:uiPriority="0" w:semiHidden="0" w:unhideWhenUsed="0" w:qFormat="1"/>
    <w:lsdException w:name="heading 7" w:uiPriority="0" w:qFormat="1"/>
    <w:lsdException w:name="heading 8" w:uiPriority="0" w:qFormat="1"/>
    <w:lsdException w:name="heading 9" w:uiPriority="0" w:qFormat="1"/>
    <w:lsdException w:name="index 1" w:uiPriority="0" w:semiHidden="0" w:unhideWhenUsed="0"/>
    <w:lsdException w:name="index 2" w:uiPriority="0" w:semiHidden="0" w:unhideWhenUsed="0"/>
    <w:lsdException w:name="index 3" w:uiPriority="0" w:semiHidden="0" w:unhideWhenUsed="0"/>
    <w:lsdException w:name="index 4" w:uiPriority="0" w:semiHidden="0" w:unhideWhenUsed="0"/>
    <w:lsdException w:name="index 5" w:uiPriority="0" w:semiHidden="0" w:unhideWhenUsed="0"/>
    <w:lsdException w:name="index 6" w:uiPriority="0" w:semiHidden="0" w:unhideWhenUsed="0"/>
    <w:lsdException w:name="index 7" w:uiPriority="0" w:semiHidden="0" w:unhideWhenUsed="0"/>
    <w:lsdException w:name="index 8" w:uiPriority="0" w:semiHidden="0" w:unhideWhenUsed="0"/>
    <w:lsdException w:name="index 9" w:uiPriority="0" w:semiHidden="0" w:unhideWhenUsed="0"/>
    <w:lsdException w:name="toc 1" w:uiPriority="39" w:semiHidden="0" w:unhideWhenUsed="0" w:qFormat="1"/>
    <w:lsdException w:name="toc 2" w:uiPriority="39" w:semiHidden="0" w:unhideWhenUsed="0" w:qFormat="1"/>
    <w:lsdException w:name="toc 3" w:uiPriority="0" w:semiHidden="0" w:unhideWhenUsed="0"/>
    <w:lsdException w:name="toc 4" w:uiPriority="0" w:semiHidden="0" w:unhideWhenUsed="0"/>
    <w:lsdException w:name="toc 5" w:uiPriority="0" w:semiHidden="0" w:unhideWhenUsed="0"/>
    <w:lsdException w:name="toc 6" w:uiPriority="0" w:semiHidden="0" w:unhideWhenUsed="0"/>
    <w:lsdException w:name="toc 7" w:uiPriority="0" w:semiHidden="0" w:unhideWhenUsed="0"/>
    <w:lsdException w:name="toc 8" w:uiPriority="0" w:semiHidden="0" w:unhideWhenUsed="0"/>
    <w:lsdException w:name="toc 9" w:uiPriority="0" w:semiHidden="0" w:unhideWhenUsed="0"/>
    <w:lsdException w:name="Normal Indent" w:uiPriority="0" w:semiHidden="0" w:unhideWhenUsed="0" w:qFormat="1"/>
    <w:lsdException w:name="footnote text" w:uiPriority="0" w:semiHidden="0" w:unhideWhenUsed="0" w:qFormat="1"/>
    <w:lsdException w:name="annotation text" w:uiPriority="0" w:semiHidden="0" w:unhideWhenUsed="0"/>
    <w:lsdException w:name="header" w:uiPriority="0" w:semiHidden="0" w:unhideWhenUsed="0" w:qFormat="1"/>
    <w:lsdException w:name="footer" w:uiPriority="0" w:semiHidden="0" w:unhideWhenUsed="0" w:qFormat="1"/>
    <w:lsdException w:name="index heading" w:uiPriority="0" w:semiHidden="0" w:unhideWhenUsed="0"/>
    <w:lsdException w:name="caption" w:uiPriority="0" w:qFormat="1"/>
    <w:lsdException w:name="table of figures" w:uiPriority="0" w:semiHidden="0" w:unhideWhenUsed="0"/>
    <w:lsdException w:name="envelope address" w:uiPriority="0" w:semiHidden="0" w:unhideWhenUsed="0"/>
    <w:lsdException w:name="envelope return" w:uiPriority="0" w:semiHidden="0" w:unhideWhenUsed="0"/>
    <w:lsdException w:name="footnote reference" w:uiPriority="0" w:semiHidden="0" w:unhideWhenUsed="0" w:qFormat="1"/>
    <w:lsdException w:name="annotation reference" w:uiPriority="0" w:semiHidden="0" w:unhideWhenUsed="0"/>
    <w:lsdException w:name="line number" w:uiPriority="0" w:semiHidden="0" w:unhideWhenUsed="0"/>
    <w:lsdException w:name="page number" w:uiPriority="0" w:semiHidden="0" w:unhideWhenUsed="0"/>
    <w:lsdException w:name="endnote reference" w:uiPriority="0" w:semiHidden="0" w:unhideWhenUsed="0"/>
    <w:lsdException w:name="endnote text" w:uiPriority="0" w:semiHidden="0" w:unhideWhenUsed="0"/>
    <w:lsdException w:name="table of authorities" w:uiPriority="0" w:semiHidden="0" w:unhideWhenUsed="0"/>
    <w:lsdException w:name="macro" w:uiPriority="0" w:semiHidden="0" w:unhideWhenUsed="0"/>
    <w:lsdException w:name="toa heading" w:uiPriority="0" w:semiHidden="0" w:unhideWhenUsed="0"/>
    <w:lsdException w:name="List" w:uiPriority="0" w:semiHidden="0" w:unhideWhenUsed="0"/>
    <w:lsdException w:name="List Bullet" w:uiPriority="0" w:semiHidden="0" w:unhideWhenUsed="0"/>
    <w:lsdException w:name="List Number" w:uiPriority="0" w:semiHidden="0" w:unhideWhenUsed="0"/>
    <w:lsdException w:name="List 2" w:uiPriority="0" w:semiHidden="0" w:unhideWhenUsed="0"/>
    <w:lsdException w:name="List 3" w:uiPriority="0" w:semiHidden="0" w:unhideWhenUsed="0"/>
    <w:lsdException w:name="List 4" w:uiPriority="0" w:semiHidden="0" w:unhideWhenUsed="0"/>
    <w:lsdException w:name="List 5" w:uiPriority="0" w:semiHidden="0" w:unhideWhenUsed="0"/>
    <w:lsdException w:name="List Bullet 2" w:uiPriority="0" w:semiHidden="0" w:unhideWhenUsed="0"/>
    <w:lsdException w:name="List Bullet 3" w:uiPriority="0" w:semiHidden="0" w:unhideWhenUsed="0"/>
    <w:lsdException w:name="List Bullet 4" w:uiPriority="0" w:semiHidden="0" w:unhideWhenUsed="0"/>
    <w:lsdException w:name="List Bullet 5" w:uiPriority="0" w:semiHidden="0" w:unhideWhenUsed="0"/>
    <w:lsdException w:name="List Number 2" w:uiPriority="0" w:semiHidden="0" w:unhideWhenUsed="0"/>
    <w:lsdException w:name="List Number 3" w:uiPriority="0" w:semiHidden="0" w:unhideWhenUsed="0"/>
    <w:lsdException w:name="List Number 4" w:uiPriority="0" w:semiHidden="0" w:unhideWhenUsed="0"/>
    <w:lsdException w:name="List Number 5" w:uiPriority="0" w:semiHidden="0" w:unhideWhenUsed="0"/>
    <w:lsdException w:name="Title" w:uiPriority="0" w:semiHidden="0" w:unhideWhenUsed="0" w:qFormat="1"/>
    <w:lsdException w:name="Closing" w:uiPriority="0" w:semiHidden="0" w:unhideWhenUsed="0"/>
    <w:lsdException w:name="Signature" w:uiPriority="0" w:semiHidden="0" w:unhideWhenUsed="0"/>
    <w:lsdException w:name="Default Paragraph Font" w:uiPriority="1" w:qFormat="1"/>
    <w:lsdException w:name="Body Text" w:uiPriority="0" w:semiHidden="0" w:unhideWhenUsed="0" w:qFormat="1"/>
    <w:lsdException w:name="Body Text Indent" w:uiPriority="0" w:semiHidden="0" w:unhideWhenUsed="0" w:qFormat="1"/>
    <w:lsdException w:name="List Continue" w:uiPriority="0" w:semiHidden="0" w:unhideWhenUsed="0"/>
    <w:lsdException w:name="List Continue 2" w:uiPriority="0" w:semiHidden="0" w:unhideWhenUsed="0"/>
    <w:lsdException w:name="List Continue 3" w:uiPriority="0" w:semiHidden="0" w:unhideWhenUsed="0"/>
    <w:lsdException w:name="List Continue 4" w:uiPriority="0" w:semiHidden="0" w:unhideWhenUsed="0"/>
    <w:lsdException w:name="List Continue 5" w:uiPriority="0" w:semiHidden="0" w:unhideWhenUsed="0"/>
    <w:lsdException w:name="Message Header" w:uiPriority="0" w:semiHidden="0" w:unhideWhenUsed="0"/>
    <w:lsdException w:name="Subtitle" w:uiPriority="0" w:semiHidden="0" w:unhideWhenUsed="0" w:qFormat="1"/>
    <w:lsdException w:name="Salutation" w:uiPriority="0" w:semiHidden="0" w:unhideWhenUsed="0"/>
    <w:lsdException w:name="Date" w:uiPriority="0" w:semiHidden="0" w:unhideWhenUsed="0"/>
    <w:lsdException w:name="Body Text First Indent" w:uiPriority="0" w:semiHidden="0" w:unhideWhenUsed="0"/>
    <w:lsdException w:name="Body Text First Indent 2" w:uiPriority="0" w:semiHidden="0" w:unhideWhenUsed="0"/>
    <w:lsdException w:name="Note Heading" w:uiPriority="0" w:semiHidden="0" w:unhideWhenUsed="0"/>
    <w:lsdException w:name="Body Text 2" w:uiPriority="0" w:semiHidden="0" w:unhideWhenUsed="0"/>
    <w:lsdException w:name="Body Text 3" w:uiPriority="0" w:semiHidden="0" w:unhideWhenUsed="0"/>
    <w:lsdException w:name="Body Text Indent 2" w:uiPriority="0" w:semiHidden="0" w:unhideWhenUsed="0"/>
    <w:lsdException w:name="Body Text Indent 3" w:uiPriority="0" w:semiHidden="0" w:unhideWhenUsed="0"/>
    <w:lsdException w:name="Block Text" w:uiPriority="0" w:semiHidden="0" w:unhideWhenUsed="0"/>
    <w:lsdException w:name="Hyperlink" w:uiPriority="99" w:semiHidden="0" w:unhideWhenUsed="0" w:qFormat="1"/>
    <w:lsdException w:name="FollowedHyperlink" w:uiPriority="99" w:semiHidden="0" w:qFormat="1"/>
    <w:lsdException w:name="Strong" w:uiPriority="0" w:semiHidden="0" w:unhideWhenUsed="0" w:qFormat="1"/>
    <w:lsdException w:name="Emphasis" w:uiPriority="20" w:semiHidden="0" w:unhideWhenUsed="0" w:qFormat="1"/>
    <w:lsdException w:name="Document Map" w:uiPriority="0" w:semiHidden="0" w:unhideWhenUsed="0"/>
    <w:lsdException w:name="Plain Text" w:uiPriority="0" w:semiHidden="0" w:unhideWhenUsed="0"/>
    <w:lsdException w:name="E-mail Signature" w:uiPriority="0" w:semiHidden="0" w:unhideWhenUsed="0"/>
    <w:lsdException w:name="Normal (Web)" w:uiPriority="0" w:semiHidden="0" w:unhideWhenUsed="0"/>
    <w:lsdException w:name="HTML Acronym" w:uiPriority="0" w:semiHidden="0" w:unhideWhenUsed="0"/>
    <w:lsdException w:name="HTML Address" w:uiPriority="0" w:semiHidden="0" w:unhideWhenUsed="0"/>
    <w:lsdException w:name="HTML Cite" w:uiPriority="0" w:semiHidden="0" w:unhideWhenUsed="0"/>
    <w:lsdException w:name="HTML Code" w:uiPriority="0" w:semiHidden="0" w:unhideWhenUsed="0"/>
    <w:lsdException w:name="HTML Definition" w:uiPriority="0" w:semiHidden="0" w:unhideWhenUsed="0"/>
    <w:lsdException w:name="HTML Keyboard" w:uiPriority="0" w:semiHidden="0" w:unhideWhenUsed="0"/>
    <w:lsdException w:name="HTML Preformatted" w:uiPriority="0" w:semiHidden="0" w:unhideWhenUsed="0"/>
    <w:lsdException w:name="HTML Sample" w:uiPriority="0" w:semiHidden="0" w:unhideWhenUsed="0"/>
    <w:lsdException w:name="HTML Typewriter" w:uiPriority="0" w:semiHidden="0" w:unhideWhenUsed="0"/>
    <w:lsdException w:name="HTML Variable" w:uiPriority="0" w:semiHidden="0" w:unhideWhenUsed="0"/>
    <w:lsdException w:name="Normal Table" w:uiPriority="99" w:qFormat="1"/>
    <w:lsdException w:name="annotation subject" w:uiPriority="0" w:semiHidden="0" w:unhideWhenUsed="0"/>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0" w:unhideWhenUsed="0" w:qFormat="1"/>
    <w:lsdException w:name="Table Grid" w:uiPriority="99" w:semiHidden="0" w:unhideWhenUsed="0"/>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Normal" w:default="1">
    <w:name w:val="Normal"/>
    <w:uiPriority w:val="0"/>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Normal"/>
    <w:next w:val="TextBody"/>
    <w:link w:val="104"/>
    <w:uiPriority w:val="0"/>
    <w:qFormat/>
    <w:pPr>
      <w:widowControl/>
      <w:numPr>
        <w:ilvl w:val="0"/>
        <w:numId w:val="1"/>
      </w:numPr>
      <w:snapToGrid w:val="false"/>
      <w:spacing w:lineRule="atLeast" w:line="280" w:before="120" w:after="240"/>
      <w:jc w:val="center"/>
      <w:outlineLvl w:val="0"/>
    </w:pPr>
    <w:rPr>
      <w:rFonts w:ascii="Arial" w:hAnsi="Arial" w:eastAsia="楷体_GB2312"/>
      <w:b/>
      <w:kern w:val="2"/>
      <w:sz w:val="44"/>
      <w:szCs w:val="20"/>
      <w:vertAlign w:val="superscript"/>
    </w:rPr>
  </w:style>
  <w:style w:type="paragraph" w:styleId="Heading2">
    <w:name w:val="Heading 2"/>
    <w:basedOn w:val="Normal"/>
    <w:next w:val="TextBody"/>
    <w:link w:val="105"/>
    <w:uiPriority w:val="0"/>
    <w:qFormat/>
    <w:pPr>
      <w:widowControl/>
      <w:numPr>
        <w:ilvl w:val="1"/>
        <w:numId w:val="1"/>
      </w:numPr>
      <w:snapToGrid w:val="false"/>
      <w:spacing w:lineRule="auto" w:line="420" w:before="240" w:after="240"/>
      <w:jc w:val="center"/>
      <w:outlineLvl w:val="1"/>
    </w:pPr>
    <w:rPr>
      <w:rFonts w:ascii="Arial" w:hAnsi="Arial" w:eastAsia="楷体_GB2312"/>
      <w:b/>
      <w:kern w:val="2"/>
      <w:sz w:val="32"/>
      <w:szCs w:val="20"/>
    </w:rPr>
  </w:style>
  <w:style w:type="paragraph" w:styleId="Heading3">
    <w:name w:val="Heading 3"/>
    <w:basedOn w:val="Normal"/>
    <w:next w:val="TextBody"/>
    <w:link w:val="106"/>
    <w:uiPriority w:val="0"/>
    <w:qFormat/>
    <w:pPr>
      <w:keepNext w:val="true"/>
      <w:widowControl/>
      <w:numPr>
        <w:ilvl w:val="2"/>
        <w:numId w:val="1"/>
      </w:numPr>
      <w:snapToGrid w:val="false"/>
      <w:spacing w:lineRule="atLeast" w:line="220" w:before="140" w:after="120"/>
      <w:outlineLvl w:val="2"/>
    </w:pPr>
    <w:rPr>
      <w:rFonts w:ascii="Arial" w:hAnsi="Arial" w:eastAsia="楷体_GB2312"/>
      <w:spacing w:val="-4"/>
      <w:kern w:val="2"/>
      <w:sz w:val="32"/>
      <w:szCs w:val="20"/>
    </w:rPr>
  </w:style>
  <w:style w:type="paragraph" w:styleId="Heading4">
    <w:name w:val="Heading 4"/>
    <w:basedOn w:val="Normal"/>
    <w:next w:val="TextBody"/>
    <w:link w:val="107"/>
    <w:uiPriority w:val="0"/>
    <w:qFormat/>
    <w:pPr>
      <w:widowControl/>
      <w:numPr>
        <w:ilvl w:val="3"/>
        <w:numId w:val="1"/>
      </w:numPr>
      <w:snapToGrid w:val="false"/>
      <w:spacing w:lineRule="atLeast" w:line="220" w:before="140" w:after="120"/>
      <w:outlineLvl w:val="3"/>
    </w:pPr>
    <w:rPr>
      <w:rFonts w:ascii="Arial" w:hAnsi="Arial" w:eastAsia="黑体"/>
      <w:b/>
      <w:spacing w:val="-4"/>
      <w:kern w:val="2"/>
      <w:sz w:val="28"/>
      <w:szCs w:val="20"/>
    </w:rPr>
  </w:style>
  <w:style w:type="paragraph" w:styleId="Heading5">
    <w:name w:val="Heading 5"/>
    <w:basedOn w:val="Normal"/>
    <w:next w:val="TextBody"/>
    <w:link w:val="108"/>
    <w:uiPriority w:val="0"/>
    <w:qFormat/>
    <w:pPr>
      <w:widowControl/>
      <w:numPr>
        <w:ilvl w:val="4"/>
        <w:numId w:val="1"/>
      </w:numPr>
      <w:snapToGrid w:val="false"/>
      <w:spacing w:lineRule="exact" w:line="440" w:before="120" w:after="120"/>
      <w:outlineLvl w:val="4"/>
    </w:pPr>
    <w:rPr>
      <w:b/>
      <w:spacing w:val="-4"/>
      <w:kern w:val="2"/>
      <w:sz w:val="24"/>
      <w:szCs w:val="20"/>
    </w:rPr>
  </w:style>
  <w:style w:type="paragraph" w:styleId="Heading6">
    <w:name w:val="Heading 6"/>
    <w:basedOn w:val="Normal"/>
    <w:next w:val="TextBody"/>
    <w:link w:val="109"/>
    <w:uiPriority w:val="0"/>
    <w:qFormat/>
    <w:pPr>
      <w:widowControl/>
      <w:numPr>
        <w:ilvl w:val="5"/>
        <w:numId w:val="1"/>
      </w:numPr>
      <w:snapToGrid w:val="false"/>
      <w:spacing w:lineRule="auto" w:line="360" w:before="120" w:after="120"/>
      <w:outlineLvl w:val="5"/>
    </w:pPr>
    <w:rPr>
      <w:spacing w:val="-4"/>
      <w:kern w:val="0"/>
      <w:sz w:val="24"/>
      <w:szCs w:val="20"/>
    </w:rPr>
  </w:style>
  <w:style w:type="character" w:styleId="DefaultParagraphFont" w:default="1">
    <w:name w:val="Default Paragraph Font"/>
    <w:uiPriority w:val="1"/>
    <w:semiHidden/>
    <w:unhideWhenUsed/>
    <w:qFormat/>
    <w:rPr/>
  </w:style>
  <w:style w:type="character" w:styleId="VisitedInternetLink">
    <w:name w:val="FollowedHyperlink"/>
    <w:basedOn w:val="DefaultParagraphFont"/>
    <w:uiPriority w:val="99"/>
    <w:unhideWhenUsed/>
    <w:qFormat/>
    <w:rPr>
      <w:color w:val="800080"/>
      <w:u w:val="single"/>
    </w:rPr>
  </w:style>
  <w:style w:type="character" w:styleId="Emphasis">
    <w:name w:val="Emphasis"/>
    <w:basedOn w:val="DefaultParagraphFont"/>
    <w:uiPriority w:val="20"/>
    <w:qFormat/>
    <w:rPr>
      <w:color w:val="CC0000"/>
    </w:rPr>
  </w:style>
  <w:style w:type="character" w:styleId="InternetLink">
    <w:name w:val="Hyperlink"/>
    <w:basedOn w:val="DefaultParagraphFont"/>
    <w:uiPriority w:val="99"/>
    <w:qFormat/>
    <w:rPr>
      <w:color w:val="0000FF"/>
      <w:u w:val="single"/>
    </w:rPr>
  </w:style>
  <w:style w:type="character" w:styleId="FootnoteCharacters">
    <w:name w:val="Footnote Characters"/>
    <w:basedOn w:val="DefaultParagraphFont"/>
    <w:uiPriority w:val="0"/>
    <w:qFormat/>
    <w:rPr>
      <w:vertAlign w:val="superscript"/>
    </w:rPr>
  </w:style>
  <w:style w:type="character" w:styleId="FootnoteAnchor">
    <w:name w:val="Footnote Anchor"/>
    <w:rPr>
      <w:vertAlign w:val="superscript"/>
    </w:rPr>
  </w:style>
  <w:style w:type="character" w:styleId="Char" w:customStyle="1">
    <w:name w:val="正文文本 Char"/>
    <w:basedOn w:val="DefaultParagraphFont"/>
    <w:link w:val="3"/>
    <w:uiPriority w:val="0"/>
    <w:qFormat/>
    <w:rPr>
      <w:sz w:val="24"/>
    </w:rPr>
  </w:style>
  <w:style w:type="character" w:styleId="1Char" w:customStyle="1">
    <w:name w:val="标题 1 Char"/>
    <w:basedOn w:val="DefaultParagraphFont"/>
    <w:link w:val="2"/>
    <w:uiPriority w:val="0"/>
    <w:qFormat/>
    <w:rPr>
      <w:rFonts w:ascii="Arial" w:hAnsi="Arial" w:eastAsia="楷体_GB2312"/>
      <w:b/>
      <w:kern w:val="2"/>
      <w:sz w:val="44"/>
      <w:vertAlign w:val="superscript"/>
    </w:rPr>
  </w:style>
  <w:style w:type="character" w:styleId="2Char" w:customStyle="1">
    <w:name w:val="标题 2 Char"/>
    <w:basedOn w:val="DefaultParagraphFont"/>
    <w:link w:val="4"/>
    <w:uiPriority w:val="0"/>
    <w:qFormat/>
    <w:rPr>
      <w:rFonts w:ascii="Arial" w:hAnsi="Arial" w:eastAsia="楷体_GB2312"/>
      <w:b/>
      <w:kern w:val="2"/>
      <w:sz w:val="32"/>
    </w:rPr>
  </w:style>
  <w:style w:type="character" w:styleId="3Char" w:customStyle="1">
    <w:name w:val="标题 3 Char"/>
    <w:basedOn w:val="DefaultParagraphFont"/>
    <w:link w:val="5"/>
    <w:uiPriority w:val="0"/>
    <w:qFormat/>
    <w:rPr>
      <w:rFonts w:ascii="Arial" w:hAnsi="Arial" w:eastAsia="楷体_GB2312"/>
      <w:spacing w:val="-4"/>
      <w:kern w:val="2"/>
      <w:sz w:val="32"/>
    </w:rPr>
  </w:style>
  <w:style w:type="character" w:styleId="4Char" w:customStyle="1">
    <w:name w:val="标题 4 Char"/>
    <w:basedOn w:val="DefaultParagraphFont"/>
    <w:link w:val="6"/>
    <w:uiPriority w:val="0"/>
    <w:qFormat/>
    <w:rPr>
      <w:rFonts w:ascii="Arial" w:hAnsi="Arial" w:eastAsia="黑体"/>
      <w:b/>
      <w:spacing w:val="-4"/>
      <w:kern w:val="2"/>
      <w:sz w:val="28"/>
    </w:rPr>
  </w:style>
  <w:style w:type="character" w:styleId="5Char" w:customStyle="1">
    <w:name w:val="标题 5 Char"/>
    <w:basedOn w:val="DefaultParagraphFont"/>
    <w:link w:val="7"/>
    <w:uiPriority w:val="0"/>
    <w:qFormat/>
    <w:rPr>
      <w:b/>
      <w:spacing w:val="-4"/>
      <w:kern w:val="2"/>
      <w:sz w:val="24"/>
    </w:rPr>
  </w:style>
  <w:style w:type="character" w:styleId="6Char" w:customStyle="1">
    <w:name w:val="标题 6 Char"/>
    <w:basedOn w:val="DefaultParagraphFont"/>
    <w:link w:val="8"/>
    <w:uiPriority w:val="0"/>
    <w:qFormat/>
    <w:rPr>
      <w:spacing w:val="-4"/>
      <w:sz w:val="24"/>
    </w:rPr>
  </w:style>
  <w:style w:type="character" w:styleId="Char1" w:customStyle="1">
    <w:name w:val="脚注文本 Char"/>
    <w:basedOn w:val="DefaultParagraphFont"/>
    <w:link w:val="16"/>
    <w:uiPriority w:val="0"/>
    <w:qFormat/>
    <w:rPr>
      <w:kern w:val="2"/>
      <w:sz w:val="18"/>
      <w:szCs w:val="18"/>
    </w:rPr>
  </w:style>
  <w:style w:type="character" w:styleId="CharChar" w:customStyle="1">
    <w:name w:val="表头 Char Char"/>
    <w:basedOn w:val="DefaultParagraphFont"/>
    <w:link w:val="26"/>
    <w:uiPriority w:val="0"/>
    <w:qFormat/>
    <w:rPr>
      <w:rFonts w:ascii="Arial" w:hAnsi="Arial" w:eastAsia="黑体"/>
      <w:kern w:val="2"/>
      <w:sz w:val="28"/>
      <w:szCs w:val="28"/>
    </w:rPr>
  </w:style>
  <w:style w:type="character" w:styleId="2CharChar" w:customStyle="1">
    <w:name w:val="表文2 Char Char"/>
    <w:basedOn w:val="DefaultParagraphFont"/>
    <w:link w:val="27"/>
    <w:uiPriority w:val="0"/>
    <w:qFormat/>
    <w:rPr>
      <w:rFonts w:eastAsia="方正书宋_GBK"/>
      <w:kern w:val="2"/>
      <w:sz w:val="21"/>
      <w:szCs w:val="21"/>
    </w:rPr>
  </w:style>
  <w:style w:type="character" w:styleId="Char2" w:customStyle="1">
    <w:name w:val="正文文本缩进 Char"/>
    <w:basedOn w:val="DefaultParagraphFont"/>
    <w:link w:val="10"/>
    <w:uiPriority w:val="0"/>
    <w:qFormat/>
    <w:rPr>
      <w:kern w:val="2"/>
      <w:sz w:val="21"/>
      <w:szCs w:val="24"/>
    </w:rPr>
  </w:style>
  <w:style w:type="character" w:styleId="Char3" w:customStyle="1">
    <w:name w:val="标题 Char"/>
    <w:basedOn w:val="DefaultParagraphFont"/>
    <w:link w:val="18"/>
    <w:uiPriority w:val="0"/>
    <w:qFormat/>
    <w:rPr>
      <w:rFonts w:ascii="Cambria" w:hAnsi="Cambria" w:cs="Times New Roman"/>
      <w:b/>
      <w:bCs/>
      <w:kern w:val="2"/>
      <w:sz w:val="28"/>
      <w:szCs w:val="32"/>
    </w:rPr>
  </w:style>
  <w:style w:type="character" w:styleId="Char4" w:customStyle="1">
    <w:name w:val="副标题 Char"/>
    <w:basedOn w:val="DefaultParagraphFont"/>
    <w:link w:val="15"/>
    <w:uiPriority w:val="0"/>
    <w:qFormat/>
    <w:rPr>
      <w:rFonts w:ascii="Cambria" w:hAnsi="Cambria" w:cs="Times New Roman"/>
      <w:b/>
      <w:bCs/>
      <w:kern w:val="2"/>
      <w:sz w:val="24"/>
      <w:szCs w:val="32"/>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link w:val="103"/>
    <w:uiPriority w:val="0"/>
    <w:qFormat/>
    <w:pPr>
      <w:widowControl/>
      <w:snapToGrid w:val="false"/>
      <w:spacing w:lineRule="auto" w:line="360" w:before="120" w:after="120"/>
      <w:ind w:firstLine="454"/>
    </w:pPr>
    <w:rPr>
      <w:kern w:val="0"/>
      <w:sz w:val="24"/>
      <w:szCs w:val="20"/>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NormalIndent">
    <w:name w:val="Normal Indent"/>
    <w:basedOn w:val="Normal"/>
    <w:uiPriority w:val="0"/>
    <w:qFormat/>
    <w:pPr>
      <w:ind w:firstLine="420"/>
    </w:pPr>
    <w:rPr/>
  </w:style>
  <w:style w:type="paragraph" w:styleId="TextBodyIndent">
    <w:name w:val="Body Text Indent"/>
    <w:basedOn w:val="Normal"/>
    <w:link w:val="113"/>
    <w:uiPriority w:val="0"/>
    <w:qFormat/>
    <w:pPr>
      <w:spacing w:before="0" w:after="120"/>
      <w:ind w:start="420" w:hanging="0"/>
    </w:pPr>
    <w:rPr/>
  </w:style>
  <w:style w:type="paragraph" w:styleId="BalloonText">
    <w:name w:val="Balloon Text"/>
    <w:basedOn w:val="Normal"/>
    <w:uiPriority w:val="0"/>
    <w:semiHidden/>
    <w:qFormat/>
    <w:pPr/>
    <w:rPr>
      <w:sz w:val="18"/>
      <w:szCs w:val="18"/>
    </w:rPr>
  </w:style>
  <w:style w:type="paragraph" w:styleId="HeaderandFooter">
    <w:name w:val="Header and Footer"/>
    <w:basedOn w:val="Normal"/>
    <w:qFormat/>
    <w:pPr/>
    <w:rPr/>
  </w:style>
  <w:style w:type="paragraph" w:styleId="Footer">
    <w:name w:val="Footer"/>
    <w:basedOn w:val="Normal"/>
    <w:uiPriority w:val="0"/>
    <w:qFormat/>
    <w:pPr>
      <w:tabs>
        <w:tab w:val="clear" w:pos="420"/>
        <w:tab w:val="center" w:pos="4153" w:leader="none"/>
        <w:tab w:val="right" w:pos="8306" w:leader="none"/>
      </w:tabs>
      <w:snapToGrid w:val="false"/>
      <w:jc w:val="start"/>
    </w:pPr>
    <w:rPr>
      <w:sz w:val="18"/>
      <w:szCs w:val="18"/>
    </w:rPr>
  </w:style>
  <w:style w:type="paragraph" w:styleId="Header">
    <w:name w:val="Header"/>
    <w:basedOn w:val="Normal"/>
    <w:uiPriority w:val="0"/>
    <w:qFormat/>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Contents1">
    <w:name w:val="TOC 1"/>
    <w:basedOn w:val="Normal"/>
    <w:next w:val="Normal"/>
    <w:uiPriority w:val="39"/>
    <w:qFormat/>
    <w:pPr/>
    <w:rPr/>
  </w:style>
  <w:style w:type="paragraph" w:styleId="Subtitle">
    <w:name w:val="Subtitle"/>
    <w:basedOn w:val="Normal"/>
    <w:next w:val="Normal"/>
    <w:link w:val="115"/>
    <w:uiPriority w:val="0"/>
    <w:qFormat/>
    <w:pPr>
      <w:spacing w:lineRule="auto" w:line="312" w:before="240" w:after="60"/>
      <w:jc w:val="start"/>
      <w:outlineLvl w:val="1"/>
    </w:pPr>
    <w:rPr>
      <w:rFonts w:ascii="Cambria" w:hAnsi="Cambria"/>
      <w:b/>
      <w:bCs/>
      <w:kern w:val="2"/>
      <w:sz w:val="24"/>
      <w:szCs w:val="32"/>
    </w:rPr>
  </w:style>
  <w:style w:type="paragraph" w:styleId="Footnote">
    <w:name w:val="Footnote Text"/>
    <w:basedOn w:val="Normal"/>
    <w:link w:val="110"/>
    <w:uiPriority w:val="0"/>
    <w:qFormat/>
    <w:pPr>
      <w:snapToGrid w:val="false"/>
      <w:jc w:val="start"/>
    </w:pPr>
    <w:rPr>
      <w:sz w:val="18"/>
      <w:szCs w:val="18"/>
    </w:rPr>
  </w:style>
  <w:style w:type="paragraph" w:styleId="Contents2">
    <w:name w:val="TOC 2"/>
    <w:basedOn w:val="Normal"/>
    <w:next w:val="Normal"/>
    <w:uiPriority w:val="39"/>
    <w:qFormat/>
    <w:pPr>
      <w:ind w:start="420" w:hanging="0"/>
    </w:pPr>
    <w:rPr/>
  </w:style>
  <w:style w:type="paragraph" w:styleId="Title">
    <w:name w:val="Title"/>
    <w:basedOn w:val="Normal"/>
    <w:next w:val="Normal"/>
    <w:link w:val="114"/>
    <w:uiPriority w:val="0"/>
    <w:qFormat/>
    <w:pPr>
      <w:spacing w:before="240" w:after="60"/>
      <w:jc w:val="center"/>
      <w:outlineLvl w:val="0"/>
    </w:pPr>
    <w:rPr>
      <w:rFonts w:ascii="Cambria" w:hAnsi="Cambria"/>
      <w:b/>
      <w:bCs/>
      <w:sz w:val="28"/>
      <w:szCs w:val="32"/>
    </w:rPr>
  </w:style>
  <w:style w:type="paragraph" w:styleId="ParaCharCharCharCharCharCharChar" w:customStyle="1">
    <w:name w:val="默认段落字体 Para Char Char Char Char Char Char Char"/>
    <w:basedOn w:val="Normal"/>
    <w:uiPriority w:val="0"/>
    <w:qFormat/>
    <w:pPr>
      <w:tabs>
        <w:tab w:val="clear" w:pos="420"/>
        <w:tab w:val="left" w:pos="4665" w:leader="none"/>
        <w:tab w:val="left" w:pos="8970" w:leader="none"/>
      </w:tabs>
      <w:ind w:firstLine="400"/>
    </w:pPr>
    <w:rPr>
      <w:rFonts w:ascii="Tahoma" w:hAnsi="Tahoma"/>
      <w:sz w:val="24"/>
      <w:szCs w:val="20"/>
    </w:rPr>
  </w:style>
  <w:style w:type="paragraph" w:styleId="Style8" w:customStyle="1">
    <w:name w:val="表头"/>
    <w:basedOn w:val="Normal"/>
    <w:link w:val="111"/>
    <w:uiPriority w:val="0"/>
    <w:qFormat/>
    <w:pPr>
      <w:pageBreakBefore/>
      <w:spacing w:lineRule="atLeast" w:line="360" w:before="240" w:after="120"/>
      <w:jc w:val="center"/>
    </w:pPr>
    <w:rPr>
      <w:rFonts w:ascii="Arial" w:hAnsi="Arial" w:eastAsia="黑体"/>
      <w:sz w:val="28"/>
      <w:szCs w:val="28"/>
    </w:rPr>
  </w:style>
  <w:style w:type="paragraph" w:styleId="2" w:customStyle="1">
    <w:name w:val="表文2"/>
    <w:basedOn w:val="Normal"/>
    <w:link w:val="112"/>
    <w:uiPriority w:val="0"/>
    <w:qFormat/>
    <w:pPr>
      <w:spacing w:lineRule="atLeast" w:line="360"/>
      <w:ind w:start="100" w:end="100" w:hanging="0"/>
    </w:pPr>
    <w:rPr>
      <w:rFonts w:eastAsia="方正书宋_GBK"/>
      <w:szCs w:val="21"/>
    </w:rPr>
  </w:style>
  <w:style w:type="paragraph" w:styleId="Style9" w:customStyle="1">
    <w:name w:val="表文"/>
    <w:basedOn w:val="NormalIndent"/>
    <w:uiPriority w:val="0"/>
    <w:qFormat/>
    <w:pPr>
      <w:snapToGrid w:val="false"/>
      <w:spacing w:lineRule="atLeast" w:line="280"/>
      <w:ind w:hanging="0"/>
    </w:pPr>
    <w:rPr>
      <w:szCs w:val="20"/>
    </w:rPr>
  </w:style>
  <w:style w:type="paragraph" w:styleId="TOC1" w:customStyle="1">
    <w:name w:val="TOC 标题1"/>
    <w:basedOn w:val="Heading1"/>
    <w:next w:val="Normal"/>
    <w:uiPriority w:val="39"/>
    <w:semiHidden/>
    <w:unhideWhenUsed/>
    <w:qFormat/>
    <w:pPr>
      <w:keepNext w:val="true"/>
      <w:keepLines/>
      <w:numPr>
        <w:ilvl w:val="0"/>
        <w:numId w:val="0"/>
      </w:numPr>
      <w:snapToGrid w:val="true"/>
      <w:spacing w:lineRule="auto" w:line="276" w:before="480" w:after="0"/>
      <w:jc w:val="start"/>
    </w:pPr>
    <w:rPr>
      <w:rFonts w:ascii="Cambria" w:hAnsi="Cambria" w:eastAsia="宋体"/>
      <w:bCs/>
      <w:color w:val="365F91"/>
      <w:kern w:val="0"/>
      <w:sz w:val="28"/>
      <w:szCs w:val="28"/>
    </w:rPr>
  </w:style>
  <w:style w:type="paragraph" w:styleId="1" w:customStyle="1">
    <w:name w:val="列出段落1"/>
    <w:basedOn w:val="Normal"/>
    <w:uiPriority w:val="34"/>
    <w:qFormat/>
    <w:pPr>
      <w:ind w:firstLine="420"/>
    </w:pPr>
    <w:rPr/>
  </w:style>
  <w:style w:type="paragraph" w:styleId="Font1" w:customStyle="1">
    <w:name w:val="font1"/>
    <w:basedOn w:val="Normal"/>
    <w:uiPriority w:val="0"/>
    <w:qFormat/>
    <w:pPr>
      <w:widowControl/>
      <w:spacing w:beforeAutospacing="1" w:afterAutospacing="1"/>
      <w:jc w:val="start"/>
    </w:pPr>
    <w:rPr>
      <w:rFonts w:ascii="宋体" w:hAnsi="宋体" w:cs="宋体"/>
      <w:color w:val="000000"/>
      <w:kern w:val="0"/>
      <w:sz w:val="22"/>
      <w:szCs w:val="22"/>
    </w:rPr>
  </w:style>
  <w:style w:type="paragraph" w:styleId="Font5" w:customStyle="1">
    <w:name w:val="font5"/>
    <w:basedOn w:val="Normal"/>
    <w:uiPriority w:val="0"/>
    <w:qFormat/>
    <w:pPr>
      <w:widowControl/>
      <w:spacing w:beforeAutospacing="1" w:afterAutospacing="1"/>
      <w:jc w:val="start"/>
    </w:pPr>
    <w:rPr>
      <w:rFonts w:ascii="宋体" w:hAnsi="宋体" w:cs="宋体"/>
      <w:kern w:val="0"/>
      <w:sz w:val="18"/>
      <w:szCs w:val="18"/>
    </w:rPr>
  </w:style>
  <w:style w:type="paragraph" w:styleId="Font6" w:customStyle="1">
    <w:name w:val="font6"/>
    <w:basedOn w:val="Normal"/>
    <w:uiPriority w:val="0"/>
    <w:qFormat/>
    <w:pPr>
      <w:widowControl/>
      <w:spacing w:beforeAutospacing="1" w:afterAutospacing="1"/>
      <w:jc w:val="start"/>
    </w:pPr>
    <w:rPr>
      <w:rFonts w:ascii="宋体" w:hAnsi="宋体" w:cs="宋体"/>
      <w:color w:val="000000"/>
      <w:kern w:val="0"/>
      <w:sz w:val="22"/>
      <w:szCs w:val="22"/>
    </w:rPr>
  </w:style>
  <w:style w:type="paragraph" w:styleId="Font7" w:customStyle="1">
    <w:name w:val="font7"/>
    <w:basedOn w:val="Normal"/>
    <w:uiPriority w:val="0"/>
    <w:qFormat/>
    <w:pPr>
      <w:widowControl/>
      <w:spacing w:beforeAutospacing="1" w:afterAutospacing="1"/>
      <w:jc w:val="start"/>
    </w:pPr>
    <w:rPr>
      <w:rFonts w:ascii="宋体" w:hAnsi="宋体" w:cs="宋体"/>
      <w:kern w:val="0"/>
      <w:sz w:val="20"/>
      <w:szCs w:val="20"/>
    </w:rPr>
  </w:style>
  <w:style w:type="paragraph" w:styleId="Font8" w:customStyle="1">
    <w:name w:val="font8"/>
    <w:basedOn w:val="Normal"/>
    <w:uiPriority w:val="0"/>
    <w:qFormat/>
    <w:pPr>
      <w:widowControl/>
      <w:spacing w:beforeAutospacing="1" w:afterAutospacing="1"/>
      <w:jc w:val="start"/>
    </w:pPr>
    <w:rPr>
      <w:rFonts w:ascii="宋体" w:hAnsi="宋体" w:cs="宋体"/>
      <w:kern w:val="0"/>
      <w:sz w:val="18"/>
      <w:szCs w:val="18"/>
    </w:rPr>
  </w:style>
  <w:style w:type="paragraph" w:styleId="Font9" w:customStyle="1">
    <w:name w:val="font9"/>
    <w:basedOn w:val="Normal"/>
    <w:uiPriority w:val="0"/>
    <w:qFormat/>
    <w:pPr>
      <w:widowControl/>
      <w:spacing w:beforeAutospacing="1" w:afterAutospacing="1"/>
      <w:jc w:val="start"/>
    </w:pPr>
    <w:rPr>
      <w:rFonts w:ascii="Arial" w:hAnsi="Arial" w:cs="Arial"/>
      <w:kern w:val="0"/>
      <w:sz w:val="20"/>
      <w:szCs w:val="20"/>
    </w:rPr>
  </w:style>
  <w:style w:type="paragraph" w:styleId="Font10" w:customStyle="1">
    <w:name w:val="font10"/>
    <w:basedOn w:val="Normal"/>
    <w:uiPriority w:val="0"/>
    <w:qFormat/>
    <w:pPr>
      <w:widowControl/>
      <w:spacing w:beforeAutospacing="1" w:afterAutospacing="1"/>
      <w:jc w:val="start"/>
    </w:pPr>
    <w:rPr>
      <w:rFonts w:ascii="宋体" w:hAnsi="宋体" w:cs="宋体"/>
      <w:kern w:val="0"/>
      <w:sz w:val="22"/>
      <w:szCs w:val="22"/>
    </w:rPr>
  </w:style>
  <w:style w:type="paragraph" w:styleId="Font11" w:customStyle="1">
    <w:name w:val="font11"/>
    <w:basedOn w:val="Normal"/>
    <w:uiPriority w:val="0"/>
    <w:qFormat/>
    <w:pPr>
      <w:widowControl/>
      <w:spacing w:beforeAutospacing="1" w:afterAutospacing="1"/>
      <w:jc w:val="start"/>
    </w:pPr>
    <w:rPr>
      <w:kern w:val="0"/>
      <w:sz w:val="22"/>
      <w:szCs w:val="22"/>
    </w:rPr>
  </w:style>
  <w:style w:type="paragraph" w:styleId="Font12" w:customStyle="1">
    <w:name w:val="font12"/>
    <w:basedOn w:val="Normal"/>
    <w:uiPriority w:val="0"/>
    <w:qFormat/>
    <w:pPr>
      <w:widowControl/>
      <w:spacing w:beforeAutospacing="1" w:afterAutospacing="1"/>
      <w:jc w:val="start"/>
    </w:pPr>
    <w:rPr>
      <w:rFonts w:ascii="宋体" w:hAnsi="宋体" w:cs="宋体"/>
      <w:color w:val="000000"/>
      <w:kern w:val="0"/>
      <w:sz w:val="22"/>
      <w:szCs w:val="22"/>
      <w:u w:val="single"/>
    </w:rPr>
  </w:style>
  <w:style w:type="paragraph" w:styleId="Font13" w:customStyle="1">
    <w:name w:val="font13"/>
    <w:basedOn w:val="Normal"/>
    <w:uiPriority w:val="0"/>
    <w:qFormat/>
    <w:pPr>
      <w:widowControl/>
      <w:spacing w:beforeAutospacing="1" w:afterAutospacing="1"/>
      <w:jc w:val="start"/>
    </w:pPr>
    <w:rPr>
      <w:rFonts w:ascii="宋体" w:hAnsi="宋体" w:cs="宋体"/>
      <w:kern w:val="0"/>
      <w:sz w:val="18"/>
      <w:szCs w:val="18"/>
    </w:rPr>
  </w:style>
  <w:style w:type="paragraph" w:styleId="Xl63" w:customStyle="1">
    <w:name w:val="xl63"/>
    <w:basedOn w:val="Normal"/>
    <w:uiPriority w:val="0"/>
    <w:qFormat/>
    <w:pPr>
      <w:widowControl/>
      <w:spacing w:beforeAutospacing="1" w:afterAutospacing="1"/>
      <w:jc w:val="start"/>
    </w:pPr>
    <w:rPr>
      <w:rFonts w:ascii="宋体" w:hAnsi="宋体" w:cs="宋体"/>
      <w:kern w:val="0"/>
      <w:sz w:val="24"/>
    </w:rPr>
  </w:style>
  <w:style w:type="paragraph" w:styleId="Xl64" w:customStyle="1">
    <w:name w:val="xl64"/>
    <w:basedOn w:val="Normal"/>
    <w:uiPriority w:val="0"/>
    <w:qFormat/>
    <w:pPr>
      <w:widowControl/>
      <w:shd w:val="clear" w:color="000000" w:fill="FFFFFF"/>
      <w:spacing w:beforeAutospacing="1" w:afterAutospacing="1"/>
      <w:jc w:val="start"/>
    </w:pPr>
    <w:rPr>
      <w:rFonts w:ascii="宋体" w:hAnsi="宋体" w:cs="宋体"/>
      <w:kern w:val="0"/>
      <w:sz w:val="24"/>
    </w:rPr>
  </w:style>
  <w:style w:type="paragraph" w:styleId="Xl65" w:customStyle="1">
    <w:name w:val="xl65"/>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pPr>
    <w:rPr>
      <w:rFonts w:ascii="宋体" w:hAnsi="宋体" w:cs="宋体"/>
      <w:kern w:val="0"/>
      <w:sz w:val="24"/>
    </w:rPr>
  </w:style>
  <w:style w:type="paragraph" w:styleId="Xl66" w:customStyle="1">
    <w:name w:val="xl66"/>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pPr>
    <w:rPr>
      <w:rFonts w:ascii="宋体" w:hAnsi="宋体" w:cs="宋体"/>
      <w:kern w:val="0"/>
      <w:sz w:val="24"/>
    </w:rPr>
  </w:style>
  <w:style w:type="paragraph" w:styleId="Xl67" w:customStyle="1">
    <w:name w:val="xl67"/>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68" w:customStyle="1">
    <w:name w:val="xl68"/>
    <w:basedOn w:val="Normal"/>
    <w:uiPriority w:val="0"/>
    <w:qFormat/>
    <w:pPr>
      <w:widowControl/>
      <w:pBdr>
        <w:top w:val="single" w:sz="8" w:space="0" w:color="000000"/>
        <w:left w:val="single" w:sz="4" w:space="0" w:color="000000"/>
        <w:bottom w:val="single" w:sz="4" w:space="0" w:color="000000"/>
        <w:right w:val="single" w:sz="4" w:space="0" w:color="000000"/>
      </w:pBdr>
      <w:shd w:val="clear" w:color="000000" w:fill="DBE5F1"/>
      <w:spacing w:beforeAutospacing="1" w:afterAutospacing="1"/>
      <w:jc w:val="center"/>
    </w:pPr>
    <w:rPr>
      <w:rFonts w:ascii="宋体" w:hAnsi="宋体" w:cs="宋体"/>
      <w:b/>
      <w:bCs/>
      <w:kern w:val="0"/>
      <w:sz w:val="24"/>
    </w:rPr>
  </w:style>
  <w:style w:type="paragraph" w:styleId="Xl69" w:customStyle="1">
    <w:name w:val="xl69"/>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70" w:customStyle="1">
    <w:name w:val="xl70"/>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0"/>
      <w:szCs w:val="20"/>
    </w:rPr>
  </w:style>
  <w:style w:type="paragraph" w:styleId="Xl71" w:customStyle="1">
    <w:name w:val="xl71"/>
    <w:basedOn w:val="Normal"/>
    <w:uiPriority w:val="0"/>
    <w:qFormat/>
    <w:pPr>
      <w:widowControl/>
      <w:pBdr>
        <w:top w:val="single" w:sz="8" w:space="0" w:color="000000"/>
        <w:bottom w:val="single" w:sz="4" w:space="0" w:color="000000"/>
        <w:right w:val="single" w:sz="4" w:space="0" w:color="000000"/>
      </w:pBdr>
      <w:shd w:val="clear" w:color="000000" w:fill="DBE5F1"/>
      <w:spacing w:beforeAutospacing="1" w:afterAutospacing="1"/>
      <w:jc w:val="center"/>
    </w:pPr>
    <w:rPr>
      <w:rFonts w:ascii="宋体" w:hAnsi="宋体" w:cs="宋体"/>
      <w:b/>
      <w:bCs/>
      <w:kern w:val="0"/>
      <w:sz w:val="24"/>
    </w:rPr>
  </w:style>
  <w:style w:type="paragraph" w:styleId="Xl72" w:customStyle="1">
    <w:name w:val="xl72"/>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0"/>
      <w:szCs w:val="20"/>
    </w:rPr>
  </w:style>
  <w:style w:type="paragraph" w:styleId="Xl73" w:customStyle="1">
    <w:name w:val="xl73"/>
    <w:basedOn w:val="Normal"/>
    <w:uiPriority w:val="0"/>
    <w:qFormat/>
    <w:pPr>
      <w:widowControl/>
      <w:pBdr>
        <w:top w:val="single" w:sz="8" w:space="0" w:color="000000"/>
        <w:left w:val="single" w:sz="8" w:space="0" w:color="000000"/>
        <w:bottom w:val="single" w:sz="4" w:space="0" w:color="000000"/>
        <w:right w:val="single" w:sz="4" w:space="0" w:color="000000"/>
      </w:pBdr>
      <w:shd w:val="clear" w:color="000000" w:fill="DBE5F1"/>
      <w:spacing w:beforeAutospacing="1" w:afterAutospacing="1"/>
      <w:jc w:val="center"/>
    </w:pPr>
    <w:rPr>
      <w:rFonts w:ascii="宋体" w:hAnsi="宋体" w:cs="宋体"/>
      <w:b/>
      <w:bCs/>
      <w:kern w:val="0"/>
      <w:sz w:val="24"/>
    </w:rPr>
  </w:style>
  <w:style w:type="paragraph" w:styleId="Xl74" w:customStyle="1">
    <w:name w:val="xl74"/>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color w:val="000000"/>
      <w:kern w:val="0"/>
      <w:sz w:val="24"/>
    </w:rPr>
  </w:style>
  <w:style w:type="paragraph" w:styleId="Xl75" w:customStyle="1">
    <w:name w:val="xl75"/>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4"/>
    </w:rPr>
  </w:style>
  <w:style w:type="paragraph" w:styleId="Xl76" w:customStyle="1">
    <w:name w:val="xl76"/>
    <w:basedOn w:val="Normal"/>
    <w:uiPriority w:val="0"/>
    <w:qFormat/>
    <w:pPr>
      <w:widowControl/>
      <w:shd w:val="clear" w:color="000000" w:fill="FFFFFF"/>
      <w:spacing w:beforeAutospacing="1" w:afterAutospacing="1"/>
      <w:jc w:val="start"/>
    </w:pPr>
    <w:rPr>
      <w:rFonts w:ascii="宋体" w:hAnsi="宋体" w:cs="宋体"/>
      <w:kern w:val="0"/>
      <w:sz w:val="24"/>
    </w:rPr>
  </w:style>
  <w:style w:type="paragraph" w:styleId="Xl77" w:customStyle="1">
    <w:name w:val="xl77"/>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4"/>
    </w:rPr>
  </w:style>
  <w:style w:type="paragraph" w:styleId="Xl78" w:customStyle="1">
    <w:name w:val="xl78"/>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textAlignment w:val="top"/>
    </w:pPr>
    <w:rPr>
      <w:rFonts w:ascii="宋体" w:hAnsi="宋体" w:cs="宋体"/>
      <w:kern w:val="0"/>
      <w:sz w:val="24"/>
    </w:rPr>
  </w:style>
  <w:style w:type="paragraph" w:styleId="Xl79" w:customStyle="1">
    <w:name w:val="xl79"/>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0"/>
      <w:szCs w:val="20"/>
    </w:rPr>
  </w:style>
  <w:style w:type="paragraph" w:styleId="Xl80" w:customStyle="1">
    <w:name w:val="xl80"/>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pPr>
    <w:rPr>
      <w:rFonts w:ascii="宋体" w:hAnsi="宋体" w:cs="宋体"/>
      <w:kern w:val="0"/>
      <w:sz w:val="20"/>
      <w:szCs w:val="20"/>
    </w:rPr>
  </w:style>
  <w:style w:type="paragraph" w:styleId="Xl81" w:customStyle="1">
    <w:name w:val="xl81"/>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pPr>
    <w:rPr>
      <w:rFonts w:ascii="宋体" w:hAnsi="宋体" w:cs="宋体"/>
      <w:kern w:val="0"/>
      <w:sz w:val="20"/>
      <w:szCs w:val="20"/>
    </w:rPr>
  </w:style>
  <w:style w:type="paragraph" w:styleId="Xl82" w:customStyle="1">
    <w:name w:val="xl82"/>
    <w:basedOn w:val="Normal"/>
    <w:uiPriority w:val="0"/>
    <w:qFormat/>
    <w:pPr>
      <w:widowControl/>
      <w:spacing w:beforeAutospacing="1" w:afterAutospacing="1"/>
      <w:jc w:val="start"/>
    </w:pPr>
    <w:rPr>
      <w:rFonts w:ascii="宋体" w:hAnsi="宋体" w:cs="宋体"/>
      <w:kern w:val="0"/>
      <w:sz w:val="20"/>
      <w:szCs w:val="20"/>
    </w:rPr>
  </w:style>
  <w:style w:type="paragraph" w:styleId="Xl83" w:customStyle="1">
    <w:name w:val="xl83"/>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start"/>
      <w:textAlignment w:val="top"/>
    </w:pPr>
    <w:rPr>
      <w:rFonts w:ascii="宋体" w:hAnsi="宋体" w:cs="宋体"/>
      <w:kern w:val="0"/>
      <w:sz w:val="20"/>
      <w:szCs w:val="20"/>
    </w:rPr>
  </w:style>
  <w:style w:type="paragraph" w:styleId="Xl84" w:customStyle="1">
    <w:name w:val="xl84"/>
    <w:basedOn w:val="Normal"/>
    <w:uiPriority w:val="0"/>
    <w:qFormat/>
    <w:pPr>
      <w:widowControl/>
      <w:pBdr>
        <w:bottom w:val="single" w:sz="4"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85" w:customStyle="1">
    <w:name w:val="xl85"/>
    <w:basedOn w:val="Normal"/>
    <w:uiPriority w:val="0"/>
    <w:qFormat/>
    <w:pPr>
      <w:widowControl/>
      <w:pBdr>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4"/>
    </w:rPr>
  </w:style>
  <w:style w:type="paragraph" w:styleId="Xl86" w:customStyle="1">
    <w:name w:val="xl86"/>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pPr>
    <w:rPr>
      <w:rFonts w:ascii="宋体" w:hAnsi="宋体" w:cs="宋体"/>
      <w:kern w:val="0"/>
      <w:sz w:val="24"/>
    </w:rPr>
  </w:style>
  <w:style w:type="paragraph" w:styleId="Xl87" w:customStyle="1">
    <w:name w:val="xl87"/>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pPr>
    <w:rPr>
      <w:rFonts w:ascii="宋体" w:hAnsi="宋体" w:cs="宋体"/>
      <w:kern w:val="0"/>
      <w:sz w:val="24"/>
    </w:rPr>
  </w:style>
  <w:style w:type="paragraph" w:styleId="Xl88" w:customStyle="1">
    <w:name w:val="xl88"/>
    <w:basedOn w:val="Normal"/>
    <w:uiPriority w:val="0"/>
    <w:qFormat/>
    <w:pPr>
      <w:widowControl/>
      <w:pBdr>
        <w:left w:val="single" w:sz="4" w:space="0" w:color="000000"/>
        <w:bottom w:val="single" w:sz="4" w:space="0" w:color="000000"/>
        <w:right w:val="single" w:sz="4" w:space="0" w:color="000000"/>
      </w:pBdr>
      <w:shd w:val="clear" w:color="000000" w:fill="FFFFFF"/>
      <w:spacing w:beforeAutospacing="1" w:afterAutospacing="1"/>
      <w:jc w:val="start"/>
    </w:pPr>
    <w:rPr>
      <w:rFonts w:ascii="宋体" w:hAnsi="宋体" w:cs="宋体"/>
      <w:kern w:val="0"/>
      <w:sz w:val="20"/>
      <w:szCs w:val="20"/>
    </w:rPr>
  </w:style>
  <w:style w:type="paragraph" w:styleId="Xl89" w:customStyle="1">
    <w:name w:val="xl89"/>
    <w:basedOn w:val="Normal"/>
    <w:uiPriority w:val="0"/>
    <w:qFormat/>
    <w:pPr>
      <w:widowControl/>
      <w:pBdr>
        <w:top w:val="single" w:sz="8" w:space="0" w:color="000000"/>
        <w:left w:val="single" w:sz="4" w:space="0" w:color="000000"/>
        <w:bottom w:val="single" w:sz="4" w:space="0" w:color="000000"/>
      </w:pBdr>
      <w:shd w:val="clear" w:color="000000" w:fill="DBE5F1"/>
      <w:spacing w:beforeAutospacing="1" w:afterAutospacing="1"/>
      <w:jc w:val="center"/>
    </w:pPr>
    <w:rPr>
      <w:rFonts w:ascii="宋体" w:hAnsi="宋体" w:cs="宋体"/>
      <w:b/>
      <w:bCs/>
      <w:kern w:val="0"/>
      <w:sz w:val="24"/>
    </w:rPr>
  </w:style>
  <w:style w:type="paragraph" w:styleId="Xl90" w:customStyle="1">
    <w:name w:val="xl90"/>
    <w:basedOn w:val="Normal"/>
    <w:uiPriority w:val="0"/>
    <w:qFormat/>
    <w:pPr>
      <w:widowControl/>
      <w:pBdr>
        <w:top w:val="single" w:sz="8" w:space="0" w:color="000000"/>
        <w:left w:val="single" w:sz="4" w:space="0" w:color="000000"/>
        <w:bottom w:val="single" w:sz="4" w:space="0" w:color="000000"/>
        <w:right w:val="single" w:sz="8" w:space="0" w:color="000000"/>
      </w:pBdr>
      <w:shd w:val="clear" w:color="000000" w:fill="DBE5F1"/>
      <w:spacing w:beforeAutospacing="1" w:afterAutospacing="1"/>
      <w:jc w:val="center"/>
    </w:pPr>
    <w:rPr>
      <w:rFonts w:ascii="宋体" w:hAnsi="宋体" w:cs="宋体"/>
      <w:b/>
      <w:bCs/>
      <w:kern w:val="0"/>
      <w:sz w:val="24"/>
    </w:rPr>
  </w:style>
  <w:style w:type="paragraph" w:styleId="Xl91" w:customStyle="1">
    <w:name w:val="xl91"/>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2" w:customStyle="1">
    <w:name w:val="xl92"/>
    <w:basedOn w:val="Normal"/>
    <w:uiPriority w:val="0"/>
    <w:qFormat/>
    <w:pPr>
      <w:widowControl/>
      <w:pBdr>
        <w:top w:val="single" w:sz="4" w:space="0" w:color="000000"/>
        <w:left w:val="single" w:sz="4" w:space="0" w:color="000000"/>
        <w:bottom w:val="single" w:sz="4" w:space="0" w:color="000000"/>
        <w:right w:val="single" w:sz="8" w:space="0" w:color="000000"/>
      </w:pBdr>
      <w:shd w:val="clear" w:color="000000" w:fill="FFFFFF"/>
      <w:spacing w:beforeAutospacing="1" w:afterAutospacing="1"/>
      <w:jc w:val="center"/>
    </w:pPr>
    <w:rPr>
      <w:rFonts w:ascii="宋体" w:hAnsi="宋体" w:cs="宋体"/>
      <w:kern w:val="0"/>
      <w:sz w:val="20"/>
      <w:szCs w:val="20"/>
    </w:rPr>
  </w:style>
  <w:style w:type="paragraph" w:styleId="Xl93" w:customStyle="1">
    <w:name w:val="xl93"/>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4" w:customStyle="1">
    <w:name w:val="xl94"/>
    <w:basedOn w:val="Normal"/>
    <w:uiPriority w:val="0"/>
    <w:qFormat/>
    <w:pPr>
      <w:widowControl/>
      <w:pBdr>
        <w:top w:val="single" w:sz="4" w:space="0" w:color="000000"/>
        <w:left w:val="single" w:sz="4" w:space="0" w:color="000000"/>
        <w:bottom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5" w:customStyle="1">
    <w:name w:val="xl95"/>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宋体" w:hAnsi="宋体" w:cs="宋体"/>
      <w:kern w:val="0"/>
      <w:sz w:val="20"/>
      <w:szCs w:val="20"/>
    </w:rPr>
  </w:style>
  <w:style w:type="paragraph" w:styleId="Xl96" w:customStyle="1">
    <w:name w:val="xl96"/>
    <w:basedOn w:val="Normal"/>
    <w:uiPriority w:val="0"/>
    <w:qFormat/>
    <w:pPr>
      <w:widowControl/>
      <w:pBdr>
        <w:top w:val="single" w:sz="4" w:space="0" w:color="000000"/>
        <w:left w:val="single" w:sz="4" w:space="0" w:color="000000"/>
        <w:bottom w:val="single" w:sz="4" w:space="0" w:color="000000"/>
        <w:right w:val="single" w:sz="8" w:space="0" w:color="000000"/>
      </w:pBdr>
      <w:spacing w:beforeAutospacing="1" w:afterAutospacing="1"/>
      <w:jc w:val="start"/>
    </w:pPr>
    <w:rPr>
      <w:rFonts w:ascii="宋体" w:hAnsi="宋体" w:cs="宋体"/>
      <w:kern w:val="0"/>
      <w:sz w:val="20"/>
      <w:szCs w:val="20"/>
    </w:rPr>
  </w:style>
  <w:style w:type="paragraph" w:styleId="Xl97" w:customStyle="1">
    <w:name w:val="xl97"/>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98" w:customStyle="1">
    <w:name w:val="xl98"/>
    <w:basedOn w:val="Normal"/>
    <w:uiPriority w:val="0"/>
    <w:qFormat/>
    <w:pPr>
      <w:widowControl/>
      <w:pBdr>
        <w:top w:val="single" w:sz="4" w:space="0" w:color="000000"/>
        <w:left w:val="single" w:sz="4" w:space="0" w:color="000000"/>
        <w:bottom w:val="single" w:sz="8" w:space="0" w:color="000000"/>
        <w:right w:val="single" w:sz="8" w:space="0" w:color="000000"/>
      </w:pBdr>
      <w:shd w:val="clear" w:color="000000" w:fill="FFFFFF"/>
      <w:spacing w:beforeAutospacing="1" w:afterAutospacing="1"/>
      <w:jc w:val="start"/>
    </w:pPr>
    <w:rPr>
      <w:rFonts w:ascii="宋体" w:hAnsi="宋体" w:cs="宋体"/>
      <w:kern w:val="0"/>
      <w:sz w:val="20"/>
      <w:szCs w:val="20"/>
    </w:rPr>
  </w:style>
  <w:style w:type="paragraph" w:styleId="Xl99" w:customStyle="1">
    <w:name w:val="xl99"/>
    <w:basedOn w:val="Normal"/>
    <w:uiPriority w:val="0"/>
    <w:qFormat/>
    <w:pPr>
      <w:widowControl/>
      <w:spacing w:beforeAutospacing="1" w:afterAutospacing="1"/>
      <w:jc w:val="center"/>
    </w:pPr>
    <w:rPr>
      <w:rFonts w:ascii="宋体" w:hAnsi="宋体" w:cs="宋体"/>
      <w:kern w:val="0"/>
      <w:sz w:val="20"/>
      <w:szCs w:val="20"/>
    </w:rPr>
  </w:style>
  <w:style w:type="paragraph" w:styleId="Xl100" w:customStyle="1">
    <w:name w:val="xl100"/>
    <w:basedOn w:val="Normal"/>
    <w:uiPriority w:val="0"/>
    <w:qFormat/>
    <w:pPr>
      <w:widowControl/>
      <w:spacing w:beforeAutospacing="1" w:afterAutospacing="1"/>
      <w:jc w:val="start"/>
    </w:pPr>
    <w:rPr>
      <w:rFonts w:ascii="宋体" w:hAnsi="宋体" w:cs="宋体"/>
      <w:kern w:val="0"/>
      <w:sz w:val="20"/>
      <w:szCs w:val="20"/>
    </w:rPr>
  </w:style>
  <w:style w:type="paragraph" w:styleId="Xl101" w:customStyle="1">
    <w:name w:val="xl101"/>
    <w:basedOn w:val="Normal"/>
    <w:uiPriority w:val="0"/>
    <w:qFormat/>
    <w:pPr>
      <w:widowControl/>
      <w:pBdr>
        <w:top w:val="single" w:sz="4" w:space="0" w:color="000000"/>
        <w:left w:val="single" w:sz="4" w:space="0" w:color="000000"/>
        <w:bottom w:val="single" w:sz="8" w:space="0" w:color="000000"/>
        <w:right w:val="single" w:sz="4" w:space="0" w:color="000000"/>
      </w:pBdr>
      <w:shd w:val="clear" w:color="000000" w:fill="FFFFFF"/>
      <w:spacing w:beforeAutospacing="1" w:afterAutospacing="1"/>
      <w:jc w:val="center"/>
    </w:pPr>
    <w:rPr>
      <w:rFonts w:ascii="宋体" w:hAnsi="宋体" w:cs="宋体"/>
      <w:kern w:val="0"/>
      <w:sz w:val="20"/>
      <w:szCs w:val="20"/>
    </w:rPr>
  </w:style>
  <w:style w:type="paragraph" w:styleId="Xl102" w:customStyle="1">
    <w:name w:val="xl102"/>
    <w:basedOn w:val="Normal"/>
    <w:uiPriority w:val="0"/>
    <w:qFormat/>
    <w:pPr>
      <w:widowControl/>
      <w:pBdr>
        <w:top w:val="single" w:sz="4" w:space="0" w:color="000000"/>
        <w:left w:val="single" w:sz="4" w:space="0" w:color="000000"/>
        <w:bottom w:val="single" w:sz="4" w:space="0" w:color="000000"/>
      </w:pBdr>
      <w:spacing w:beforeAutospacing="1" w:afterAutospacing="1"/>
      <w:jc w:val="center"/>
    </w:pPr>
    <w:rPr>
      <w:rFonts w:ascii="宋体" w:hAnsi="宋体" w:cs="宋体"/>
      <w:kern w:val="0"/>
      <w:sz w:val="20"/>
      <w:szCs w:val="20"/>
    </w:rPr>
  </w:style>
  <w:style w:type="paragraph" w:styleId="Xl103" w:customStyle="1">
    <w:name w:val="xl103"/>
    <w:basedOn w:val="Normal"/>
    <w:uiPriority w:val="0"/>
    <w:qFormat/>
    <w:pPr>
      <w:widowControl/>
      <w:pBdr>
        <w:top w:val="single" w:sz="4" w:space="0" w:color="000000"/>
        <w:left w:val="single" w:sz="4" w:space="0" w:color="000000"/>
        <w:bottom w:val="single" w:sz="8" w:space="0" w:color="000000"/>
      </w:pBdr>
      <w:shd w:val="clear" w:color="000000" w:fill="FFFFFF"/>
      <w:spacing w:beforeAutospacing="1" w:afterAutospacing="1"/>
      <w:jc w:val="center"/>
    </w:pPr>
    <w:rPr>
      <w:rFonts w:ascii="宋体" w:hAnsi="宋体" w:cs="宋体"/>
      <w:kern w:val="0"/>
      <w:sz w:val="20"/>
      <w:szCs w:val="20"/>
    </w:rPr>
  </w:style>
  <w:style w:type="paragraph" w:styleId="Xl104" w:customStyle="1">
    <w:name w:val="xl104"/>
    <w:basedOn w:val="Normal"/>
    <w:uiPriority w:val="0"/>
    <w:qFormat/>
    <w:pPr>
      <w:widowControl/>
      <w:pBdr>
        <w:top w:val="single" w:sz="4" w:space="0" w:color="000000"/>
        <w:left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Xl105" w:customStyle="1">
    <w:name w:val="xl105"/>
    <w:basedOn w:val="Normal"/>
    <w:uiPriority w:val="0"/>
    <w:qFormat/>
    <w:pPr>
      <w:widowControl/>
      <w:pBdr>
        <w:left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Xl106" w:customStyle="1">
    <w:name w:val="xl106"/>
    <w:basedOn w:val="Normal"/>
    <w:uiPriority w:val="0"/>
    <w:qFormat/>
    <w:pPr>
      <w:widowControl/>
      <w:pBdr>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Xl107" w:customStyle="1">
    <w:name w:val="xl107"/>
    <w:basedOn w:val="Normal"/>
    <w:uiPriority w:val="0"/>
    <w:qFormat/>
    <w:pPr>
      <w:widowControl/>
      <w:pBdr>
        <w:top w:val="single" w:sz="4" w:space="0" w:color="000000"/>
        <w:left w:val="single" w:sz="4" w:space="0" w:color="000000"/>
        <w:bottom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08" w:customStyle="1">
    <w:name w:val="xl108"/>
    <w:basedOn w:val="Normal"/>
    <w:uiPriority w:val="0"/>
    <w:qFormat/>
    <w:pPr>
      <w:widowControl/>
      <w:pBdr>
        <w:top w:val="single" w:sz="4" w:space="0" w:color="000000"/>
        <w:left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09" w:customStyle="1">
    <w:name w:val="xl109"/>
    <w:basedOn w:val="Normal"/>
    <w:uiPriority w:val="0"/>
    <w:qFormat/>
    <w:pPr>
      <w:widowControl/>
      <w:pBdr>
        <w:left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10" w:customStyle="1">
    <w:name w:val="xl110"/>
    <w:basedOn w:val="Normal"/>
    <w:uiPriority w:val="0"/>
    <w:qFormat/>
    <w:pPr>
      <w:widowControl/>
      <w:pBdr>
        <w:left w:val="single" w:sz="4" w:space="0" w:color="000000"/>
        <w:bottom w:val="single" w:sz="4" w:space="0" w:color="000000"/>
        <w:right w:val="single" w:sz="4" w:space="0" w:color="000000"/>
      </w:pBdr>
      <w:spacing w:beforeAutospacing="1" w:afterAutospacing="1"/>
      <w:jc w:val="center"/>
    </w:pPr>
    <w:rPr>
      <w:rFonts w:ascii="宋体" w:hAnsi="宋体" w:cs="宋体"/>
      <w:color w:val="000000"/>
      <w:kern w:val="0"/>
      <w:sz w:val="24"/>
    </w:rPr>
  </w:style>
  <w:style w:type="paragraph" w:styleId="Xl111" w:customStyle="1">
    <w:name w:val="xl111"/>
    <w:basedOn w:val="Normal"/>
    <w:uiPriority w:val="0"/>
    <w:qFormat/>
    <w:pPr>
      <w:widowControl/>
      <w:pBdr>
        <w:top w:val="single" w:sz="4" w:space="0" w:color="000000"/>
        <w:left w:val="single" w:sz="8" w:space="0" w:color="000000"/>
        <w:bottom w:val="single" w:sz="4"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2" w:customStyle="1">
    <w:name w:val="xl112"/>
    <w:basedOn w:val="Normal"/>
    <w:uiPriority w:val="0"/>
    <w:qFormat/>
    <w:pPr>
      <w:widowControl/>
      <w:pBdr>
        <w:top w:val="single" w:sz="4" w:space="0" w:color="000000"/>
        <w:left w:val="single" w:sz="8"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3" w:customStyle="1">
    <w:name w:val="xl113"/>
    <w:basedOn w:val="Normal"/>
    <w:uiPriority w:val="0"/>
    <w:qFormat/>
    <w:pPr>
      <w:widowControl/>
      <w:pBdr>
        <w:left w:val="single" w:sz="8"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4" w:customStyle="1">
    <w:name w:val="xl114"/>
    <w:basedOn w:val="Normal"/>
    <w:uiPriority w:val="0"/>
    <w:qFormat/>
    <w:pPr>
      <w:widowControl/>
      <w:pBdr>
        <w:left w:val="single" w:sz="8" w:space="0" w:color="000000"/>
        <w:bottom w:val="single" w:sz="4" w:space="0" w:color="000000"/>
        <w:right w:val="single" w:sz="4" w:space="0" w:color="000000"/>
      </w:pBdr>
      <w:shd w:val="clear" w:color="000000" w:fill="FFFFFF"/>
      <w:spacing w:beforeAutospacing="1" w:afterAutospacing="1"/>
      <w:jc w:val="center"/>
    </w:pPr>
    <w:rPr>
      <w:rFonts w:ascii="宋体" w:hAnsi="宋体" w:cs="宋体"/>
      <w:b/>
      <w:bCs/>
      <w:kern w:val="0"/>
      <w:sz w:val="24"/>
    </w:rPr>
  </w:style>
  <w:style w:type="paragraph" w:styleId="Xl115" w:customStyle="1">
    <w:name w:val="xl115"/>
    <w:basedOn w:val="Normal"/>
    <w:uiPriority w:val="0"/>
    <w:qFormat/>
    <w:pPr>
      <w:widowControl/>
      <w:pBdr>
        <w:top w:val="single" w:sz="4" w:space="0" w:color="000000"/>
        <w:left w:val="single" w:sz="8" w:space="0" w:color="000000"/>
        <w:right w:val="single" w:sz="4" w:space="0" w:color="000000"/>
      </w:pBdr>
      <w:spacing w:beforeAutospacing="1" w:afterAutospacing="1"/>
      <w:jc w:val="center"/>
    </w:pPr>
    <w:rPr>
      <w:rFonts w:ascii="宋体" w:hAnsi="宋体" w:cs="宋体"/>
      <w:b/>
      <w:bCs/>
      <w:kern w:val="0"/>
      <w:sz w:val="24"/>
    </w:rPr>
  </w:style>
  <w:style w:type="paragraph" w:styleId="Xl116" w:customStyle="1">
    <w:name w:val="xl116"/>
    <w:basedOn w:val="Normal"/>
    <w:uiPriority w:val="0"/>
    <w:qFormat/>
    <w:pPr>
      <w:widowControl/>
      <w:pBdr>
        <w:left w:val="single" w:sz="8" w:space="0" w:color="000000"/>
        <w:right w:val="single" w:sz="4" w:space="0" w:color="000000"/>
      </w:pBdr>
      <w:spacing w:beforeAutospacing="1" w:afterAutospacing="1"/>
      <w:jc w:val="center"/>
    </w:pPr>
    <w:rPr>
      <w:rFonts w:ascii="宋体" w:hAnsi="宋体" w:cs="宋体"/>
      <w:b/>
      <w:bCs/>
      <w:kern w:val="0"/>
      <w:sz w:val="24"/>
    </w:rPr>
  </w:style>
  <w:style w:type="paragraph" w:styleId="Xl117" w:customStyle="1">
    <w:name w:val="xl117"/>
    <w:basedOn w:val="Normal"/>
    <w:uiPriority w:val="0"/>
    <w:qFormat/>
    <w:pPr>
      <w:widowControl/>
      <w:pBdr>
        <w:left w:val="single" w:sz="8" w:space="0" w:color="000000"/>
        <w:bottom w:val="single" w:sz="8" w:space="0" w:color="000000"/>
        <w:right w:val="single" w:sz="4" w:space="0" w:color="000000"/>
      </w:pBdr>
      <w:spacing w:beforeAutospacing="1" w:afterAutospacing="1"/>
      <w:jc w:val="center"/>
    </w:pPr>
    <w:rPr>
      <w:rFonts w:ascii="宋体" w:hAnsi="宋体" w:cs="宋体"/>
      <w:b/>
      <w:bCs/>
      <w:kern w:val="0"/>
      <w:sz w:val="24"/>
    </w:rPr>
  </w:style>
  <w:style w:type="paragraph" w:styleId="Xl118" w:customStyle="1">
    <w:name w:val="xl118"/>
    <w:basedOn w:val="Normal"/>
    <w:uiPriority w:val="0"/>
    <w:qFormat/>
    <w:pPr>
      <w:widowControl/>
      <w:pBdr>
        <w:top w:val="single" w:sz="4" w:space="0" w:color="000000"/>
        <w:left w:val="single" w:sz="4" w:space="0" w:color="000000"/>
        <w:right w:val="single" w:sz="4" w:space="0" w:color="000000"/>
      </w:pBdr>
      <w:spacing w:beforeAutospacing="1" w:afterAutospacing="1"/>
      <w:jc w:val="center"/>
    </w:pPr>
    <w:rPr>
      <w:rFonts w:ascii="宋体" w:hAnsi="宋体" w:cs="宋体"/>
      <w:kern w:val="0"/>
      <w:sz w:val="24"/>
    </w:rPr>
  </w:style>
  <w:style w:type="paragraph" w:styleId="Xl119" w:customStyle="1">
    <w:name w:val="xl119"/>
    <w:basedOn w:val="Normal"/>
    <w:uiPriority w:val="0"/>
    <w:qFormat/>
    <w:pPr>
      <w:widowControl/>
      <w:pBdr>
        <w:left w:val="single" w:sz="4" w:space="0" w:color="000000"/>
        <w:bottom w:val="single" w:sz="8" w:space="0" w:color="000000"/>
        <w:right w:val="single" w:sz="4" w:space="0" w:color="000000"/>
      </w:pBdr>
      <w:spacing w:beforeAutospacing="1" w:afterAutospacing="1"/>
      <w:jc w:val="center"/>
    </w:pPr>
    <w:rPr>
      <w:rFonts w:ascii="宋体" w:hAnsi="宋体" w:cs="宋体"/>
      <w:kern w:val="0"/>
      <w:sz w:val="24"/>
    </w:rPr>
  </w:style>
  <w:style w:type="paragraph" w:styleId="Xl120" w:customStyle="1">
    <w:name w:val="xl120"/>
    <w:basedOn w:val="Normal"/>
    <w:uiPriority w:val="0"/>
    <w:qFormat/>
    <w:pPr>
      <w:widowControl/>
      <w:pBdr>
        <w:top w:val="single" w:sz="4" w:space="0" w:color="000000"/>
        <w:left w:val="single" w:sz="4" w:space="0" w:color="000000"/>
        <w:bottom w:val="single" w:sz="4" w:space="0" w:color="000000"/>
        <w:right w:val="single" w:sz="4" w:space="0" w:color="000000"/>
      </w:pBdr>
      <w:shd w:val="clear" w:color="000000" w:fill="FFFFFF"/>
      <w:spacing w:beforeAutospacing="1" w:afterAutospacing="1"/>
      <w:jc w:val="center"/>
    </w:pPr>
    <w:rPr>
      <w:rFonts w:ascii="宋体" w:hAnsi="宋体" w:cs="宋体"/>
      <w:kern w:val="0"/>
      <w:sz w:val="24"/>
    </w:rPr>
  </w:style>
  <w:style w:type="paragraph" w:styleId="Font14" w:customStyle="1">
    <w:name w:val="font14"/>
    <w:basedOn w:val="Normal"/>
    <w:uiPriority w:val="0"/>
    <w:qFormat/>
    <w:pPr>
      <w:widowControl/>
      <w:spacing w:beforeAutospacing="1" w:afterAutospacing="1"/>
      <w:jc w:val="start"/>
    </w:pPr>
    <w:rPr>
      <w:rFonts w:ascii="宋体" w:hAnsi="宋体" w:cs="宋体"/>
      <w:kern w:val="0"/>
      <w:sz w:val="18"/>
      <w:szCs w:val="18"/>
    </w:rPr>
  </w:style>
  <w:style w:type="paragraph" w:styleId="Font15" w:customStyle="1">
    <w:name w:val="font15"/>
    <w:basedOn w:val="Normal"/>
    <w:uiPriority w:val="0"/>
    <w:qFormat/>
    <w:pPr>
      <w:widowControl/>
      <w:spacing w:beforeAutospacing="1" w:afterAutospacing="1"/>
      <w:jc w:val="start"/>
    </w:pPr>
    <w:rPr>
      <w:rFonts w:ascii="宋体" w:hAnsi="宋体" w:cs="宋体"/>
      <w:color w:val="000000"/>
      <w:kern w:val="0"/>
      <w:sz w:val="22"/>
      <w:szCs w:val="22"/>
    </w:rPr>
  </w:style>
  <w:style w:type="paragraph" w:styleId="Font16" w:customStyle="1">
    <w:name w:val="font16"/>
    <w:basedOn w:val="Normal"/>
    <w:uiPriority w:val="0"/>
    <w:qFormat/>
    <w:pPr>
      <w:widowControl/>
      <w:spacing w:beforeAutospacing="1" w:afterAutospacing="1"/>
      <w:jc w:val="start"/>
    </w:pPr>
    <w:rPr>
      <w:rFonts w:ascii="宋体" w:hAnsi="宋体" w:cs="宋体"/>
      <w:b/>
      <w:bCs/>
      <w:color w:val="000000"/>
      <w:kern w:val="0"/>
      <w:sz w:val="18"/>
      <w:szCs w:val="18"/>
    </w:rPr>
  </w:style>
  <w:style w:type="paragraph" w:styleId="Font17" w:customStyle="1">
    <w:name w:val="font17"/>
    <w:basedOn w:val="Normal"/>
    <w:uiPriority w:val="0"/>
    <w:qFormat/>
    <w:pPr>
      <w:widowControl/>
      <w:spacing w:beforeAutospacing="1" w:afterAutospacing="1"/>
      <w:jc w:val="start"/>
    </w:pPr>
    <w:rPr>
      <w:rFonts w:ascii="宋体" w:hAnsi="宋体" w:cs="宋体"/>
      <w:color w:val="000000"/>
      <w:kern w:val="0"/>
      <w:sz w:val="22"/>
      <w:szCs w:val="22"/>
    </w:rPr>
  </w:style>
  <w:style w:type="table" w:default="1" w:styleId="19">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LibreOffice/7.1.8.1$Linux_X86_64 LibreOffice_project/10$Build-1</Application>
  <AppVersion>15.0000</AppVersion>
  <Pages>15</Pages>
  <Words>6695</Words>
  <Characters>6858</Characters>
  <CharactersWithSpaces>7024</CharactersWithSpaces>
  <Paragraphs>503</Paragraphs>
  <Company>Microsoft Corporation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2015-05-20T08:40:00Z</dcterms:created>
  <dc:creator>未名潮</dc:creator>
  <dc:description/>
  <dc:language>en-US</dc:language>
  <cp:lastModifiedBy>李想</cp:lastModifiedBy>
  <cp:lastPrinted>2009-02-17T05:21:00Z</cp:lastPrinted>
  <dcterms:modified xsi:type="dcterms:W3CDTF">2019-11-26T14:23:45Z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y fmtid="{D5CDD505-2E9C-101B-9397-08002B2CF9AE}" pid="3" name="fileid">
    <vt:lpwstr>558033</vt:lpwstr>
  </property>
  <property fmtid="{D5CDD505-2E9C-101B-9397-08002B2CF9AE}" pid="4" name="name">
    <vt:lpwstr>5m9W5avO5z51252.doc</vt:lpwstr>
  </property>
</Properties>
</file>