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-1079500</wp:posOffset>
                </wp:positionH>
                <wp:positionV relativeFrom="paragraph">
                  <wp:posOffset>-911860</wp:posOffset>
                </wp:positionV>
                <wp:extent cx="7607935" cy="10709910"/>
                <wp:effectExtent l="0" t="0" r="0" b="0"/>
                <wp:wrapSquare wrapText="bothSides"/>
                <wp:docPr id="1" name="图片框 13"/>
                <a:graphic xmlns:a="http://schemas.openxmlformats.org/drawingml/2006/main">
                  <a:graphicData uri="http://schemas.openxmlformats.org/drawingml/2006/picture">
                    <pic:pic xmlns:pic="http://schemas.openxmlformats.org/drawingml/2006/picture">
                      <pic:nvPicPr>
                        <pic:cNvPr id="0" name="图片框 13" descr=""/>
                        <pic:cNvPicPr/>
                      </pic:nvPicPr>
                      <pic:blipFill>
                        <a:blip r:embed="rId2"/>
                        <a:stretch/>
                      </pic:blipFill>
                      <pic:spPr>
                        <a:xfrm>
                          <a:off x="0" y="0"/>
                          <a:ext cx="7607160" cy="1070928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3" stroked="f" style="position:absolute;margin-left:-85pt;margin-top:-71.8pt;width:598.95pt;height:843.2pt;mso-wrap-style:none;v-text-anchor:middle" type="shapetype_75">
                <v:imagedata r:id="rId2" o:detectmouseclick="t"/>
                <v:stroke color="#3465a4" joinstyle="round" endcap="flat"/>
                <w10:wrap type="square"/>
              </v:shape>
            </w:pict>
          </mc:Fallback>
        </mc:AlternateContent>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人力资源部门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6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本表格列出了人力资源部门常用的关键绩效考核指标（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70</w:t>
      </w:r>
      <w:r>
        <w:rPr>
          <w:rFonts w:ascii="微软雅黑" w:hAnsi="微软雅黑" w:eastAsia="微软雅黑"/>
          <w:b/>
          <w:color w:val="FF0000"/>
          <w:sz w:val="32"/>
          <w:szCs w:val="32"/>
        </w:rPr>
        <w:t>余项</w:t>
      </w:r>
      <w:r>
        <w:rPr>
          <w:rFonts w:ascii="微软雅黑" w:hAnsi="微软雅黑" w:eastAsia="微软雅黑"/>
          <w:sz w:val="32"/>
          <w:szCs w:val="32"/>
        </w:rPr>
        <w:t>。具体包括各项</w:t>
      </w:r>
      <w:r>
        <w:rPr>
          <w:rFonts w:ascii="微软雅黑" w:hAnsi="微软雅黑" w:eastAsia="微软雅黑"/>
          <w:b/>
          <w:sz w:val="32"/>
          <w:szCs w:val="32"/>
        </w:rPr>
        <w:t>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6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131" w:type="dxa"/>
        <w:jc w:val="center"/>
        <w:tblInd w:w="0" w:type="dxa"/>
        <w:tblLayout w:type="fixed"/>
        <w:tblCellMar>
          <w:top w:w="0" w:type="dxa"/>
          <w:start w:w="108" w:type="dxa"/>
          <w:bottom w:w="0" w:type="dxa"/>
          <w:end w:w="108" w:type="dxa"/>
        </w:tblCellMar>
      </w:tblPr>
      <w:tblGrid>
        <w:gridCol w:w="1242"/>
        <w:gridCol w:w="1119"/>
        <w:gridCol w:w="1581"/>
        <w:gridCol w:w="3449"/>
        <w:gridCol w:w="3515"/>
        <w:gridCol w:w="1240"/>
        <w:gridCol w:w="744"/>
        <w:gridCol w:w="1276"/>
        <w:gridCol w:w="1140"/>
        <w:gridCol w:w="823"/>
      </w:tblGrid>
      <w:tr>
        <w:trPr>
          <w:tblHeader w:val="true"/>
          <w:trHeight w:val="660" w:hRule="atLeast"/>
        </w:trPr>
        <w:tc>
          <w:tcPr>
            <w:tcW w:w="1242"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11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8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44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351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4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276"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140"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23"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930" w:hRule="atLeast"/>
        </w:trPr>
        <w:tc>
          <w:tcPr>
            <w:tcW w:w="1242"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人力资源管理综合效益</w:t>
            </w:r>
          </w:p>
        </w:tc>
        <w:tc>
          <w:tcPr>
            <w:tcW w:w="111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人力资源投入回报</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人工成本率（人力资源投资回报率）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单位人力成本收益率</w:t>
            </w:r>
            <w:r>
              <w:rPr>
                <w:rFonts w:cs="宋体" w:ascii="宋体" w:hAnsi="宋体"/>
                <w:color w:val="000000"/>
                <w:kern w:val="0"/>
                <w:sz w:val="22"/>
                <w:szCs w:val="22"/>
              </w:rPr>
              <w:t>=</w:t>
            </w:r>
            <w:r>
              <w:rPr>
                <w:rFonts w:ascii="宋体" w:hAnsi="宋体" w:cs="宋体"/>
                <w:color w:val="000000"/>
                <w:kern w:val="0"/>
                <w:sz w:val="22"/>
                <w:szCs w:val="22"/>
              </w:rPr>
              <w:t>毛利总额</w:t>
            </w:r>
            <w:r>
              <w:rPr>
                <w:rFonts w:cs="宋体" w:ascii="宋体" w:hAnsi="宋体"/>
                <w:color w:val="000000"/>
                <w:kern w:val="0"/>
                <w:sz w:val="22"/>
                <w:szCs w:val="22"/>
              </w:rPr>
              <w:t>÷</w:t>
            </w:r>
            <w:r>
              <w:rPr>
                <w:rFonts w:ascii="宋体" w:hAnsi="宋体" w:cs="宋体"/>
                <w:color w:val="000000"/>
                <w:kern w:val="0"/>
                <w:sz w:val="22"/>
                <w:szCs w:val="22"/>
              </w:rPr>
              <w:t>（工资总额</w:t>
            </w:r>
            <w:r>
              <w:rPr>
                <w:rFonts w:cs="宋体" w:ascii="宋体" w:hAnsi="宋体"/>
                <w:color w:val="000000"/>
                <w:kern w:val="0"/>
                <w:sz w:val="22"/>
                <w:szCs w:val="22"/>
              </w:rPr>
              <w:t>+</w:t>
            </w:r>
            <w:r>
              <w:rPr>
                <w:rFonts w:ascii="宋体" w:hAnsi="宋体" w:cs="宋体"/>
                <w:color w:val="000000"/>
                <w:kern w:val="0"/>
                <w:sz w:val="22"/>
                <w:szCs w:val="22"/>
              </w:rPr>
              <w:t>其他人力成本投入）</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66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员工保有</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核心员工保有率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核心员工保有率达到</w:t>
            </w:r>
            <w:r>
              <w:rPr>
                <w:rFonts w:cs="宋体" w:ascii="宋体" w:hAnsi="宋体"/>
                <w:color w:val="000000"/>
                <w:kern w:val="0"/>
                <w:sz w:val="22"/>
                <w:szCs w:val="22"/>
              </w:rPr>
              <w:t>____%</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66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员工流失率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员工流失率控制在</w:t>
            </w:r>
            <w:r>
              <w:rPr>
                <w:rFonts w:cs="宋体" w:ascii="宋体" w:hAnsi="宋体"/>
                <w:color w:val="000000"/>
                <w:kern w:val="0"/>
                <w:sz w:val="22"/>
                <w:szCs w:val="22"/>
              </w:rPr>
              <w:t>____%</w:t>
            </w:r>
            <w:r>
              <w:rPr>
                <w:rFonts w:ascii="宋体" w:hAnsi="宋体" w:cs="宋体"/>
                <w:color w:val="000000"/>
                <w:kern w:val="0"/>
                <w:sz w:val="22"/>
                <w:szCs w:val="22"/>
              </w:rPr>
              <w:t>以内</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66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员工成长</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人均业绩提升率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业绩提升率</w:t>
            </w:r>
            <w:r>
              <w:rPr>
                <w:rFonts w:cs="宋体" w:ascii="宋体" w:hAnsi="宋体"/>
                <w:color w:val="000000"/>
                <w:kern w:val="0"/>
                <w:sz w:val="22"/>
                <w:szCs w:val="22"/>
              </w:rPr>
              <w:t>=</w:t>
            </w:r>
            <w:r>
              <w:rPr>
                <w:rFonts w:ascii="宋体" w:hAnsi="宋体" w:cs="宋体"/>
                <w:color w:val="000000"/>
                <w:kern w:val="0"/>
                <w:sz w:val="22"/>
                <w:szCs w:val="22"/>
              </w:rPr>
              <w:t>当期人均产出</w:t>
            </w:r>
            <w:r>
              <w:rPr>
                <w:rFonts w:cs="宋体" w:ascii="宋体" w:hAnsi="宋体"/>
                <w:color w:val="000000"/>
                <w:kern w:val="0"/>
                <w:sz w:val="22"/>
                <w:szCs w:val="22"/>
              </w:rPr>
              <w:t>÷</w:t>
            </w:r>
            <w:r>
              <w:rPr>
                <w:rFonts w:ascii="宋体" w:hAnsi="宋体" w:cs="宋体"/>
                <w:color w:val="000000"/>
                <w:kern w:val="0"/>
                <w:sz w:val="22"/>
                <w:szCs w:val="22"/>
              </w:rPr>
              <w:t>上期人均产出</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96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员工个人职业发展达成率</w:t>
            </w:r>
            <w:r>
              <w:rPr>
                <w:rFonts w:cs="宋体" w:ascii="宋体" w:hAnsi="宋体"/>
                <w:color w:val="000000"/>
                <w:kern w:val="0"/>
                <w:sz w:val="22"/>
                <w:szCs w:val="22"/>
              </w:rPr>
              <w:t>/</w:t>
            </w:r>
            <w:r>
              <w:rPr>
                <w:rFonts w:ascii="宋体" w:hAnsi="宋体" w:cs="宋体"/>
                <w:color w:val="000000"/>
                <w:kern w:val="0"/>
                <w:sz w:val="22"/>
                <w:szCs w:val="22"/>
              </w:rPr>
              <w:t>员工能力提升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员工个人职业规划实现状况。</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根据员工职业生涯发展规划拟定及实际达成情况的比较结果进行评价，包括员工能力提升状况。</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82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公司员工素质结构情况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员工素质结构合理，符合企业战略发展需求。</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员工素质结构涵盖知识结构、专业结构、技能结构、性别结构、年龄结构、部门结构、职务结构、管理权限结构、性格结构等方面内容。</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67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人均工资增长率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人均工资增长率</w:t>
            </w:r>
            <w:r>
              <w:rPr>
                <w:rFonts w:cs="宋体" w:ascii="宋体" w:hAnsi="宋体"/>
                <w:color w:val="000000"/>
                <w:kern w:val="0"/>
                <w:sz w:val="22"/>
                <w:szCs w:val="22"/>
              </w:rPr>
              <w:t>=</w:t>
            </w:r>
            <w:r>
              <w:rPr>
                <w:rFonts w:ascii="宋体" w:hAnsi="宋体" w:cs="宋体"/>
                <w:color w:val="000000"/>
                <w:kern w:val="0"/>
                <w:sz w:val="22"/>
                <w:szCs w:val="22"/>
              </w:rPr>
              <w:t>当期人均工资</w:t>
            </w:r>
            <w:r>
              <w:rPr>
                <w:rFonts w:cs="宋体" w:ascii="宋体" w:hAnsi="宋体"/>
                <w:color w:val="000000"/>
                <w:kern w:val="0"/>
                <w:sz w:val="22"/>
                <w:szCs w:val="22"/>
              </w:rPr>
              <w:t>÷</w:t>
            </w:r>
            <w:r>
              <w:rPr>
                <w:rFonts w:ascii="宋体" w:hAnsi="宋体" w:cs="宋体"/>
                <w:color w:val="000000"/>
                <w:kern w:val="0"/>
                <w:sz w:val="22"/>
                <w:szCs w:val="22"/>
              </w:rPr>
              <w:t>上期人均工资</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82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组织效率改善以及员工满意度</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组织凝聚力与执行力</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组织凝聚力与执行力得到提升，且整体组织工作效率提高。</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组织表现为较强的凝聚力，员工认同公司企业文化且员工协同能力强；执行力强，有效执行公司战略、各项具体工作计划、以及各项管理制度。</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人力资源部、企业文化建设部门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109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员工对组织满意度评价。</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员工对于公司未来发展、组织运作有效性、组织凝聚力、工作氛围、团队合作、工作环境、组织形象、员工关爱、学习成长等方面的满意程度；且员工关系得到不断改善。</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人力资源部、企业文化建设部门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　</w:t>
            </w:r>
          </w:p>
        </w:tc>
      </w:tr>
      <w:tr>
        <w:trPr>
          <w:trHeight w:val="1095" w:hRule="atLeast"/>
        </w:trPr>
        <w:tc>
          <w:tcPr>
            <w:tcW w:w="1242"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招聘</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招聘工作</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招聘及时率</w:t>
            </w:r>
          </w:p>
        </w:tc>
        <w:tc>
          <w:tcPr>
            <w:tcW w:w="3449"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按期录用人数</w:t>
            </w:r>
            <w:r>
              <w:rPr>
                <w:rFonts w:cs="宋体" w:ascii="宋体" w:hAnsi="宋体"/>
                <w:color w:val="000000"/>
                <w:kern w:val="0"/>
                <w:sz w:val="22"/>
                <w:szCs w:val="22"/>
              </w:rPr>
              <w:t>÷(</w:t>
            </w:r>
            <w:r>
              <w:rPr>
                <w:rFonts w:ascii="宋体" w:hAnsi="宋体" w:cs="宋体"/>
                <w:color w:val="000000"/>
                <w:kern w:val="0"/>
                <w:sz w:val="22"/>
                <w:szCs w:val="22"/>
              </w:rPr>
              <w:t>当期计划招聘人数</w:t>
            </w:r>
            <w:r>
              <w:rPr>
                <w:rFonts w:cs="宋体" w:ascii="宋体" w:hAnsi="宋体"/>
                <w:color w:val="000000"/>
                <w:kern w:val="0"/>
                <w:sz w:val="22"/>
                <w:szCs w:val="22"/>
              </w:rPr>
              <w:t>+</w:t>
            </w:r>
            <w:r>
              <w:rPr>
                <w:rFonts w:ascii="宋体" w:hAnsi="宋体" w:cs="宋体"/>
                <w:color w:val="000000"/>
                <w:kern w:val="0"/>
                <w:sz w:val="22"/>
                <w:szCs w:val="22"/>
              </w:rPr>
              <w:t>上期应招而未招满的人数</w:t>
            </w:r>
            <w:r>
              <w:rPr>
                <w:rFonts w:cs="宋体" w:ascii="宋体" w:hAnsi="宋体"/>
                <w:color w:val="000000"/>
                <w:kern w:val="0"/>
                <w:sz w:val="22"/>
                <w:szCs w:val="22"/>
              </w:rPr>
              <w:t>)×100</w:t>
            </w:r>
            <w:r>
              <w:rPr>
                <w:rFonts w:ascii="宋体" w:hAnsi="宋体" w:cs="宋体"/>
                <w:color w:val="000000"/>
                <w:kern w:val="0"/>
                <w:sz w:val="22"/>
                <w:szCs w:val="22"/>
              </w:rPr>
              <w:t>％</w:t>
            </w:r>
            <w:r>
              <w:rPr>
                <w:rFonts w:cs="宋体" w:ascii="宋体" w:hAnsi="宋体"/>
                <w:color w:val="000000"/>
                <w:kern w:val="0"/>
                <w:sz w:val="22"/>
                <w:szCs w:val="22"/>
              </w:rPr>
              <w:t>(</w:t>
            </w:r>
            <w:r>
              <w:rPr>
                <w:rFonts w:ascii="宋体" w:hAnsi="宋体" w:cs="宋体"/>
                <w:color w:val="000000"/>
                <w:kern w:val="0"/>
                <w:sz w:val="22"/>
                <w:szCs w:val="22"/>
              </w:rPr>
              <w:t>以人力资源部签收日为准</w:t>
            </w:r>
            <w:r>
              <w:rPr>
                <w:rFonts w:cs="宋体" w:ascii="宋体" w:hAnsi="宋体"/>
                <w:color w:val="000000"/>
                <w:kern w:val="0"/>
                <w:sz w:val="22"/>
                <w:szCs w:val="22"/>
              </w:rPr>
              <w:t>)</w:t>
            </w:r>
            <w:r>
              <w:rPr>
                <w:rFonts w:ascii="宋体" w:hAnsi="宋体" w:cs="宋体"/>
                <w:color w:val="000000"/>
                <w:kern w:val="0"/>
                <w:sz w:val="22"/>
                <w:szCs w:val="22"/>
              </w:rPr>
              <w:t>（大于</w:t>
            </w:r>
            <w:r>
              <w:rPr>
                <w:rFonts w:cs="宋体" w:ascii="宋体" w:hAnsi="宋体"/>
                <w:color w:val="000000"/>
                <w:kern w:val="0"/>
                <w:sz w:val="22"/>
                <w:szCs w:val="22"/>
              </w:rPr>
              <w:t>80%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招聘合格率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当期转正人数</w:t>
            </w:r>
            <w:r>
              <w:rPr>
                <w:rFonts w:cs="宋体" w:ascii="宋体" w:hAnsi="宋体"/>
                <w:color w:val="000000"/>
                <w:kern w:val="0"/>
                <w:sz w:val="22"/>
                <w:szCs w:val="22"/>
              </w:rPr>
              <w:t>÷</w:t>
            </w:r>
            <w:r>
              <w:rPr>
                <w:rFonts w:ascii="宋体" w:hAnsi="宋体" w:cs="宋体"/>
                <w:color w:val="000000"/>
                <w:kern w:val="0"/>
                <w:sz w:val="22"/>
                <w:szCs w:val="22"/>
              </w:rPr>
              <w:t>当期应转正人数</w:t>
            </w:r>
            <w:r>
              <w:rPr>
                <w:rFonts w:cs="宋体" w:ascii="宋体" w:hAnsi="宋体"/>
                <w:color w:val="000000"/>
                <w:kern w:val="0"/>
                <w:sz w:val="22"/>
                <w:szCs w:val="22"/>
              </w:rPr>
              <w:t>×100</w:t>
            </w:r>
            <w:r>
              <w:rPr>
                <w:rFonts w:ascii="宋体" w:hAnsi="宋体" w:cs="宋体"/>
                <w:color w:val="000000"/>
                <w:kern w:val="0"/>
                <w:sz w:val="22"/>
                <w:szCs w:val="22"/>
              </w:rPr>
              <w:t>％（大于</w:t>
            </w:r>
            <w:r>
              <w:rPr>
                <w:rFonts w:cs="宋体" w:ascii="宋体" w:hAnsi="宋体"/>
                <w:color w:val="000000"/>
                <w:kern w:val="0"/>
                <w:sz w:val="22"/>
                <w:szCs w:val="22"/>
              </w:rPr>
              <w:t>90%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招聘费用控制</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（实际招聘费用</w:t>
            </w:r>
            <w:r>
              <w:rPr>
                <w:rFonts w:cs="宋体" w:ascii="宋体" w:hAnsi="宋体"/>
                <w:color w:val="000000"/>
                <w:kern w:val="0"/>
                <w:sz w:val="22"/>
                <w:szCs w:val="22"/>
              </w:rPr>
              <w:t>÷</w:t>
            </w:r>
            <w:r>
              <w:rPr>
                <w:rFonts w:ascii="宋体" w:hAnsi="宋体" w:cs="宋体"/>
                <w:color w:val="000000"/>
                <w:kern w:val="0"/>
                <w:sz w:val="22"/>
                <w:szCs w:val="22"/>
              </w:rPr>
              <w:t>计划招聘费用）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人员编制及人才储备</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后备人才储备率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w:t>
            </w:r>
            <w:r>
              <w:rPr>
                <w:rFonts w:ascii="宋体" w:hAnsi="宋体" w:cs="宋体"/>
                <w:color w:val="000000"/>
                <w:kern w:val="0"/>
                <w:sz w:val="22"/>
                <w:szCs w:val="22"/>
              </w:rPr>
              <w:t>实际后备人才数量</w:t>
            </w:r>
            <w:r>
              <w:rPr>
                <w:rFonts w:cs="宋体" w:ascii="宋体" w:hAnsi="宋体"/>
                <w:color w:val="000000"/>
                <w:kern w:val="0"/>
                <w:sz w:val="22"/>
                <w:szCs w:val="22"/>
              </w:rPr>
              <w:t>÷</w:t>
            </w:r>
            <w:r>
              <w:rPr>
                <w:rFonts w:ascii="宋体" w:hAnsi="宋体" w:cs="宋体"/>
                <w:color w:val="000000"/>
                <w:kern w:val="0"/>
                <w:sz w:val="22"/>
                <w:szCs w:val="22"/>
              </w:rPr>
              <w:t>计划后备人才数量</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人员编制控制率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w:t>
            </w:r>
            <w:r>
              <w:rPr>
                <w:rFonts w:ascii="宋体" w:hAnsi="宋体" w:cs="宋体"/>
                <w:color w:val="000000"/>
                <w:kern w:val="0"/>
                <w:sz w:val="22"/>
                <w:szCs w:val="22"/>
              </w:rPr>
              <w:t>实际人数</w:t>
            </w:r>
            <w:r>
              <w:rPr>
                <w:rFonts w:cs="宋体" w:ascii="宋体" w:hAnsi="宋体"/>
                <w:color w:val="000000"/>
                <w:kern w:val="0"/>
                <w:sz w:val="22"/>
                <w:szCs w:val="22"/>
              </w:rPr>
              <w:t>÷</w:t>
            </w:r>
            <w:r>
              <w:rPr>
                <w:rFonts w:ascii="宋体" w:hAnsi="宋体" w:cs="宋体"/>
                <w:color w:val="000000"/>
                <w:kern w:val="0"/>
                <w:sz w:val="22"/>
                <w:szCs w:val="22"/>
              </w:rPr>
              <w:t>计划编制人数</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42"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人才引进完成率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w:t>
            </w:r>
            <w:r>
              <w:rPr>
                <w:rFonts w:ascii="宋体" w:hAnsi="宋体" w:cs="宋体"/>
                <w:color w:val="000000"/>
                <w:kern w:val="0"/>
                <w:sz w:val="22"/>
                <w:szCs w:val="22"/>
              </w:rPr>
              <w:t>实际引进人数</w:t>
            </w:r>
            <w:r>
              <w:rPr>
                <w:rFonts w:cs="宋体" w:ascii="宋体" w:hAnsi="宋体"/>
                <w:color w:val="000000"/>
                <w:kern w:val="0"/>
                <w:sz w:val="22"/>
                <w:szCs w:val="22"/>
              </w:rPr>
              <w:t>÷</w:t>
            </w:r>
            <w:r>
              <w:rPr>
                <w:rFonts w:ascii="宋体" w:hAnsi="宋体" w:cs="宋体"/>
                <w:color w:val="000000"/>
                <w:kern w:val="0"/>
                <w:sz w:val="22"/>
                <w:szCs w:val="22"/>
              </w:rPr>
              <w:t>计划引进人数</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招聘主管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42"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培训</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培训执行</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员工培训完成率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w:t>
            </w:r>
            <w:r>
              <w:rPr>
                <w:rFonts w:ascii="宋体" w:hAnsi="宋体" w:cs="宋体"/>
                <w:color w:val="000000"/>
                <w:kern w:val="0"/>
                <w:sz w:val="22"/>
                <w:szCs w:val="22"/>
              </w:rPr>
              <w:t>有效完成的培训数量</w:t>
            </w:r>
            <w:r>
              <w:rPr>
                <w:rFonts w:cs="宋体" w:ascii="宋体" w:hAnsi="宋体"/>
                <w:color w:val="000000"/>
                <w:kern w:val="0"/>
                <w:sz w:val="22"/>
                <w:szCs w:val="22"/>
              </w:rPr>
              <w:t>÷</w:t>
            </w:r>
            <w:r>
              <w:rPr>
                <w:rFonts w:ascii="宋体" w:hAnsi="宋体" w:cs="宋体"/>
                <w:color w:val="000000"/>
                <w:kern w:val="0"/>
                <w:sz w:val="22"/>
                <w:szCs w:val="22"/>
              </w:rPr>
              <w:t>培训计划总量</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人均培训时间达成率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（实际人均培训时间</w:t>
            </w:r>
            <w:r>
              <w:rPr>
                <w:rFonts w:cs="宋体" w:ascii="宋体" w:hAnsi="宋体"/>
                <w:color w:val="000000"/>
                <w:kern w:val="0"/>
                <w:sz w:val="22"/>
                <w:szCs w:val="22"/>
              </w:rPr>
              <w:t>÷</w:t>
            </w:r>
            <w:r>
              <w:rPr>
                <w:rFonts w:ascii="宋体" w:hAnsi="宋体" w:cs="宋体"/>
                <w:color w:val="000000"/>
                <w:kern w:val="0"/>
                <w:sz w:val="22"/>
                <w:szCs w:val="22"/>
              </w:rPr>
              <w:t>计划人均培训时间</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培训费用控制</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（实际培训费用</w:t>
            </w:r>
            <w:r>
              <w:rPr>
                <w:rFonts w:cs="宋体" w:ascii="宋体" w:hAnsi="宋体"/>
                <w:color w:val="000000"/>
                <w:kern w:val="0"/>
                <w:sz w:val="22"/>
                <w:szCs w:val="22"/>
              </w:rPr>
              <w:t>÷</w:t>
            </w:r>
            <w:r>
              <w:rPr>
                <w:rFonts w:ascii="宋体" w:hAnsi="宋体" w:cs="宋体"/>
                <w:color w:val="000000"/>
                <w:kern w:val="0"/>
                <w:sz w:val="22"/>
                <w:szCs w:val="22"/>
              </w:rPr>
              <w:t>计划培训费用）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员工对培训的满意度</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对员工进行培训满意度调查的评分情况。</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培训效果</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人才培养完成情况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培训对象是指根据企业阶段需求需要培养的人才。（人才能力是否达标、人才数量是否满足需求）</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通过培训促使员工能力提升的效果。</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专业测评考试通过率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主要指员工职称考试（或者内部专业职级考试、技能等级评定）的通过率。</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培训主管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242"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绩效考核</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绩效考核工作实施</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考核的及时性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及时进行绩效考核，并依据考核结果实施奖惩。</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考核的客观公正性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考核方式、考核过程符合《绩效考核管理制度》中的相关规定，且员工认同度高。</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人力资源部、员工反馈</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考核数据准确性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考核数据符合《绩效考核管理制度》和考核实际情况</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考核数据提交及时性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《绩效考核表》每月及时提交上级领导及财务部门</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绩效管理费用控制</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（实际绩效考核管理费用</w:t>
            </w:r>
            <w:r>
              <w:rPr>
                <w:rFonts w:cs="宋体" w:ascii="宋体" w:hAnsi="宋体"/>
                <w:color w:val="000000"/>
                <w:kern w:val="0"/>
                <w:sz w:val="22"/>
                <w:szCs w:val="22"/>
              </w:rPr>
              <w:t>÷</w:t>
            </w:r>
            <w:r>
              <w:rPr>
                <w:rFonts w:ascii="宋体" w:hAnsi="宋体" w:cs="宋体"/>
                <w:color w:val="000000"/>
                <w:kern w:val="0"/>
                <w:sz w:val="22"/>
                <w:szCs w:val="22"/>
              </w:rPr>
              <w:t>计划绩效考核管理费用）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绩效考核计划执行情况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是否按照绩效考核计划按期、高质量执行。</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员工面谈及考核申诉处理</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员工绩效考核面谈完成及时高效、申诉处理及时性。</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绩效改进</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部门、个人改进计划实施</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按照《绩效考核管理制度》有效落实部门、个人改进计划工作。</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部门绩效改进情况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年度公司各部门绩效改进的情况。</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4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员工绩效改进情况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年度人均绩效改进情况。</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绩效考核主管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42"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薪酬及福利</w:t>
            </w:r>
          </w:p>
        </w:tc>
        <w:tc>
          <w:tcPr>
            <w:tcW w:w="1119"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薪酬设计与规划</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薪酬规划及福利计划的合理性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科学合理设计薪酬方案以及福利计划。</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依据政策变化、公司总体人力资源规划、行业薪酬福利水平、公司业务发展现状等，制定合理的薪酬规划及福利计划，且得到领导认可。</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top w:val="single" w:sz="4" w:space="0" w:color="000000"/>
              <w:start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薪酬福利工作实施</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工资账目管理及发放</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工资帐目准确、清晰、及时，总额控制到位，且工资发放及时、准确。</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员工福利数据准确</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各项保险、福利数据符合要求、上报及时且无差错。</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薪酬福利费用控制</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（实际薪酬</w:t>
            </w:r>
            <w:r>
              <w:rPr>
                <w:rFonts w:cs="宋体" w:ascii="宋体" w:hAnsi="宋体"/>
                <w:color w:val="000000"/>
                <w:kern w:val="0"/>
                <w:sz w:val="22"/>
                <w:szCs w:val="22"/>
              </w:rPr>
              <w:t>/</w:t>
            </w:r>
            <w:r>
              <w:rPr>
                <w:rFonts w:ascii="宋体" w:hAnsi="宋体" w:cs="宋体"/>
                <w:color w:val="000000"/>
                <w:kern w:val="0"/>
                <w:sz w:val="22"/>
                <w:szCs w:val="22"/>
              </w:rPr>
              <w:t>福利费用</w:t>
            </w:r>
            <w:r>
              <w:rPr>
                <w:rFonts w:cs="宋体" w:ascii="宋体" w:hAnsi="宋体"/>
                <w:color w:val="000000"/>
                <w:kern w:val="0"/>
                <w:sz w:val="22"/>
                <w:szCs w:val="22"/>
              </w:rPr>
              <w:t>÷</w:t>
            </w:r>
            <w:r>
              <w:rPr>
                <w:rFonts w:ascii="宋体" w:hAnsi="宋体" w:cs="宋体"/>
                <w:color w:val="000000"/>
                <w:kern w:val="0"/>
                <w:sz w:val="22"/>
                <w:szCs w:val="22"/>
              </w:rPr>
              <w:t>计划薪酬</w:t>
            </w:r>
            <w:r>
              <w:rPr>
                <w:rFonts w:cs="宋体" w:ascii="宋体" w:hAnsi="宋体"/>
                <w:color w:val="000000"/>
                <w:kern w:val="0"/>
                <w:sz w:val="22"/>
                <w:szCs w:val="22"/>
              </w:rPr>
              <w:t>/</w:t>
            </w:r>
            <w:r>
              <w:rPr>
                <w:rFonts w:ascii="宋体" w:hAnsi="宋体" w:cs="宋体"/>
                <w:color w:val="000000"/>
                <w:kern w:val="0"/>
                <w:sz w:val="22"/>
                <w:szCs w:val="22"/>
              </w:rPr>
              <w:t>福利费用）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薪酬福利计划执行情况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是否按照薪酬福利计划按期、高质量执行。</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例如及时了解政策、及时调整制度、薪酬福利台账建立、数据报表汇报等等。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薪酬福利工作成效</w:t>
            </w:r>
            <w:r>
              <w:rPr>
                <w:rFonts w:ascii="宋体" w:hAnsi="宋体" w:cs="宋体"/>
                <w:color w:val="000000"/>
                <w:kern w:val="0"/>
                <w:sz w:val="20"/>
                <w:szCs w:val="20"/>
              </w:rPr>
              <w:t>（指标还与企业营销、综合管理等因素有关，供参考）</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薪酬福利改善情况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年度员工薪酬及福利的改善程度。</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42"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薪酬福利满意度</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员工对薪酬福利的满意度评价。</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薪酬及福利主管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restart"/>
            <w:tcBorders>
              <w:top w:val="single" w:sz="4" w:space="0" w:color="000000"/>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员工关系</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员工关系管理</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劳动合同管理</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员工劳动合同签订、变更、续订和终止的及时性。</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人力资源部、法律事务部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员工入、离职、晋升、降职等手续的办理</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员工入、离职、晋升、降职等手续办理的及时性。</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人力资源部、行政管理部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劳动纪律管理</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员工迟到、早退、旷工等违纪问题处理率达</w:t>
            </w:r>
            <w:r>
              <w:rPr>
                <w:rFonts w:cs="宋体" w:ascii="宋体" w:hAnsi="宋体"/>
                <w:color w:val="000000"/>
                <w:kern w:val="0"/>
                <w:sz w:val="22"/>
                <w:szCs w:val="22"/>
              </w:rPr>
              <w:t>100%</w:t>
            </w:r>
            <w:r>
              <w:rPr>
                <w:rFonts w:ascii="宋体" w:hAnsi="宋体" w:cs="宋体"/>
                <w:color w:val="000000"/>
                <w:kern w:val="0"/>
                <w:sz w:val="22"/>
                <w:szCs w:val="22"/>
              </w:rPr>
              <w:t>，并与个人的绩效成绩、薪酬挂钩。</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人力资源部、行政管理部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员工出勤率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员工出勤率达到</w:t>
            </w:r>
            <w:r>
              <w:rPr>
                <w:rFonts w:ascii="宋体" w:hAnsi="宋体" w:cs="宋体"/>
                <w:color w:val="000000"/>
                <w:kern w:val="0"/>
                <w:sz w:val="22"/>
                <w:szCs w:val="22"/>
                <w:u w:val="single"/>
              </w:rPr>
              <w:t xml:space="preserve">       。</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员工面谈执行及效果</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面谈计划完成率、面谈报告提交情况、以及面谈的实效性。</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员工职业生涯规划管理</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员工职业生涯发展通道清晰、符合实际现状，且执行到位。</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员工关系管理费用控制</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（实际员工关系管理费用</w:t>
            </w:r>
            <w:r>
              <w:rPr>
                <w:rFonts w:cs="宋体" w:ascii="宋体" w:hAnsi="宋体"/>
                <w:color w:val="000000"/>
                <w:kern w:val="0"/>
                <w:sz w:val="22"/>
                <w:szCs w:val="22"/>
              </w:rPr>
              <w:t>÷</w:t>
            </w:r>
            <w:r>
              <w:rPr>
                <w:rFonts w:ascii="宋体" w:hAnsi="宋体" w:cs="宋体"/>
                <w:color w:val="000000"/>
                <w:kern w:val="0"/>
                <w:sz w:val="22"/>
                <w:szCs w:val="22"/>
              </w:rPr>
              <w:t>计划员工关系管理费用）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42"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员工关系管理成效</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这里主要指员工对员工关系管理方面工作的满意度评价。</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员工关系主管</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95" w:hRule="atLeast"/>
        </w:trPr>
        <w:tc>
          <w:tcPr>
            <w:tcW w:w="1242"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要求阶段性管理规划或者工作计划做到合理性及其可行性，且得到领导认可。具体包括人力资源总体规划、培训、绩效考核、薪酬及福利、员工关系管理等各方面的总结与计划。</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2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人力资源相关管理制度与流程的制定、完善与及时更新，例如招聘管理制度、薪酬管理制度、培训管理制度、绩效考核制度、劳动合同管理制度、各项奖惩制度等人力资源管理制度。</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人力资源管理制度的执行情况</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严格按照人力资源管理制度与流程执行工作。</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档案、资料管理</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完整性与规范性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要求对有关人力资源档案、资料填写完整、准确、清晰，且保管及时、规范，保存完好，差错率不超过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更新及时性</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对各类人力资源管理档案、资料以及数据进行及时更新。</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人力资源部、领导评价</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1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部门员工满意度</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部门表现为较强的凝聚力，员工协同能力强。</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部门执行力强，计划、制度得到严格、高效执行。</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这里指部门内部员工能力得到大幅度提升，或者员工对个人职业生涯规划发展满意。</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人力资源部、员工满意度</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部门成本费用控制</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r>
              <w:rPr>
                <w:rFonts w:cs="宋体" w:ascii="宋体" w:hAnsi="宋体"/>
                <w:color w:val="000000"/>
                <w:kern w:val="0"/>
                <w:sz w:val="22"/>
                <w:szCs w:val="22"/>
              </w:rPr>
              <w:t>=</w:t>
            </w:r>
            <w:r>
              <w:rPr>
                <w:rFonts w:ascii="宋体" w:hAnsi="宋体" w:cs="宋体"/>
                <w:color w:val="000000"/>
                <w:kern w:val="0"/>
                <w:sz w:val="22"/>
                <w:szCs w:val="22"/>
              </w:rPr>
              <w:t>实际费用</w:t>
            </w:r>
            <w:r>
              <w:rPr>
                <w:rFonts w:cs="宋体" w:ascii="宋体" w:hAnsi="宋体"/>
                <w:color w:val="000000"/>
                <w:kern w:val="0"/>
                <w:sz w:val="22"/>
                <w:szCs w:val="22"/>
              </w:rPr>
              <w:t>÷</w:t>
            </w:r>
            <w:r>
              <w:rPr>
                <w:rFonts w:ascii="宋体" w:hAnsi="宋体" w:cs="宋体"/>
                <w:color w:val="000000"/>
                <w:kern w:val="0"/>
                <w:sz w:val="22"/>
                <w:szCs w:val="22"/>
              </w:rPr>
              <w:t>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部门费用主要包括人员费用、差旅费、办公费、维修费等。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人力资源主管以上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其它日常工作</w:t>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与其它部门、政府部门人力资源管理机构、社保机构、业务合作伙伴等保持良好关系。</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人力资源部、其它部门反馈、合作机构</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3515"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11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3449"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人力资源经理以上</w:t>
            </w:r>
          </w:p>
        </w:tc>
        <w:tc>
          <w:tcPr>
            <w:tcW w:w="823"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85"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81"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344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3515"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242"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19"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1"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3449"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3515"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276"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人力资源部</w:t>
            </w:r>
          </w:p>
        </w:tc>
        <w:tc>
          <w:tcPr>
            <w:tcW w:w="1140"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23"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0"/>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1"/>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2"/>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3"/>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4"/>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5"/>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99"/>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09"/>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1"/>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06"/>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0"/>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07"/>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08"/>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11</Pages>
  <Words>4960</Words>
  <Characters>5037</Characters>
  <CharactersWithSpaces>5182</CharactersWithSpaces>
  <Paragraphs>466</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2015-05-20T08:39:00Z</dcterms:created>
  <dc:creator>未名潮</dc:creator>
  <dc:description/>
  <dc:language>en-US</dc:language>
  <cp:lastModifiedBy>李想</cp:lastModifiedBy>
  <cp:lastPrinted>2009-02-17T05:21:00Z</cp:lastPrinted>
  <dcterms:modified xsi:type="dcterms:W3CDTF">2019-11-26T14:24:30Z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558027</vt:lpwstr>
  </property>
  <property fmtid="{D5CDD505-2E9C-101B-9397-08002B2CF9AE}" pid="4" name="name">
    <vt:lpwstr>ecgUgqFcKF42567.doc</vt:lpwstr>
  </property>
</Properties>
</file>