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headerReference w:type="default" r:id="rId3"/>
          <w:footerReference w:type="default" r:id="rId4"/>
          <w:type w:val="nextPage"/>
          <w:pgSz w:w="11906" w:h="16838"/>
          <w:pgMar w:left="1701" w:right="1701" w:header="567" w:top="1440" w:footer="992" w:bottom="1049" w:gutter="0"/>
          <w:pgNumType w:fmt="decimal"/>
          <w:formProt w:val="false"/>
          <w:textDirection w:val="lrTb"/>
          <w:docGrid w:type="lines" w:linePitch="312" w:charSpace="0"/>
        </w:sectPr>
        <w:pStyle w:val="Normal"/>
        <w:bidi w:val="0"/>
        <w:jc w:val="center"/>
        <w:rPr>
          <w:rFonts w:ascii="黑体" w:hAnsi="黑体" w:eastAsia="黑体"/>
          <w:color w:val="0070C0"/>
          <w:sz w:val="24"/>
        </w:rPr>
      </w:pPr>
      <w:r>
        <w:rPr>
          <w:rFonts w:eastAsia="黑体" w:ascii="黑体" w:hAnsi="黑体"/>
          <w:color w:val="0070C0"/>
          <w:sz w:val="24"/>
        </w:rPr>
        <mc:AlternateContent>
          <mc:Choice Requires="wps">
            <w:drawing>
              <wp:anchor behindDoc="0" distT="0" distB="0" distL="114300" distR="114300" simplePos="0" locked="0" layoutInCell="0" allowOverlap="1" relativeHeight="2">
                <wp:simplePos x="0" y="0"/>
                <wp:positionH relativeFrom="column">
                  <wp:posOffset>-1079500</wp:posOffset>
                </wp:positionH>
                <wp:positionV relativeFrom="paragraph">
                  <wp:posOffset>-913130</wp:posOffset>
                </wp:positionV>
                <wp:extent cx="7550785" cy="10765155"/>
                <wp:effectExtent l="0" t="0" r="0" b="0"/>
                <wp:wrapSquare wrapText="bothSides"/>
                <wp:docPr id="1" name="图片框 13"/>
                <a:graphic xmlns:a="http://schemas.openxmlformats.org/drawingml/2006/main">
                  <a:graphicData uri="http://schemas.openxmlformats.org/drawingml/2006/picture">
                    <pic:pic xmlns:pic="http://schemas.openxmlformats.org/drawingml/2006/picture">
                      <pic:nvPicPr>
                        <pic:cNvPr id="0" name="图片框 13" descr=""/>
                        <pic:cNvPicPr/>
                      </pic:nvPicPr>
                      <pic:blipFill>
                        <a:blip r:embed="rId2"/>
                        <a:stretch/>
                      </pic:blipFill>
                      <pic:spPr>
                        <a:xfrm>
                          <a:off x="0" y="0"/>
                          <a:ext cx="7550280" cy="1076436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图片框 13" stroked="f" style="position:absolute;margin-left:-85pt;margin-top:-71.9pt;width:594.45pt;height:847.55pt;mso-wrap-style:none;v-text-anchor:middle" type="shapetype_75">
                <v:imagedata r:id="rId2" o:detectmouseclick="t"/>
                <v:stroke color="#3465a4" joinstyle="round" endcap="flat"/>
                <w10:wrap type="square"/>
              </v:shape>
            </w:pict>
          </mc:Fallback>
        </mc:AlternateContent>
      </w:r>
      <w:bookmarkStart w:id="0" w:name="_GoBack"/>
      <w:bookmarkStart w:id="1" w:name="_GoBack"/>
      <w:bookmarkEnd w:id="1"/>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楷体_GB2312" w:hAnsi="楷体_GB2312" w:eastAsia="楷体_GB2312"/>
          <w:b/>
          <w:b/>
          <w:color w:val="FF0000"/>
          <w:sz w:val="28"/>
          <w:szCs w:val="28"/>
        </w:rPr>
      </w:pPr>
      <w:r>
        <w:rPr>
          <w:rFonts w:ascii="微软雅黑" w:hAnsi="微软雅黑" w:eastAsia="微软雅黑"/>
          <w:b/>
          <w:color w:val="0070C0"/>
          <w:sz w:val="44"/>
          <w:szCs w:val="44"/>
        </w:rPr>
        <w:t>客户服务部门</w:t>
      </w:r>
      <w:r>
        <w:rPr>
          <w:rFonts w:eastAsia="微软雅黑" w:ascii="微软雅黑" w:hAnsi="微软雅黑"/>
          <w:b/>
          <w:color w:val="0070C0"/>
          <w:sz w:val="44"/>
          <w:szCs w:val="44"/>
        </w:rPr>
        <w:t>KPI</w:t>
      </w:r>
      <w:r>
        <w:rPr>
          <w:rFonts w:ascii="微软雅黑" w:hAnsi="微软雅黑" w:eastAsia="微软雅黑"/>
          <w:b/>
          <w:color w:val="0070C0"/>
          <w:sz w:val="44"/>
          <w:szCs w:val="44"/>
        </w:rPr>
        <w:t>指标（结合</w:t>
      </w:r>
      <w:r>
        <w:rPr>
          <w:rFonts w:eastAsia="微软雅黑" w:ascii="微软雅黑" w:hAnsi="微软雅黑"/>
          <w:b/>
          <w:color w:val="0070C0"/>
          <w:sz w:val="44"/>
          <w:szCs w:val="44"/>
        </w:rPr>
        <w:t>BSC</w:t>
      </w:r>
      <w:r>
        <w:rPr>
          <w:rFonts w:ascii="微软雅黑" w:hAnsi="微软雅黑" w:eastAsia="微软雅黑"/>
          <w:b/>
          <w:color w:val="0070C0"/>
          <w:sz w:val="44"/>
          <w:szCs w:val="44"/>
        </w:rPr>
        <w:t>）</w:t>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b/>
          <w:sz w:val="32"/>
          <w:szCs w:val="32"/>
        </w:rPr>
        <w:t>说明：</w:t>
      </w:r>
      <w:r>
        <w:rPr>
          <w:rFonts w:ascii="微软雅黑" w:hAnsi="微软雅黑" w:eastAsia="微软雅黑"/>
          <w:sz w:val="32"/>
          <w:szCs w:val="32"/>
        </w:rPr>
        <w:t>本表格列出了客户服务部门常用的关键绩效考核指标（</w:t>
      </w:r>
      <w:r>
        <w:rPr>
          <w:rFonts w:eastAsia="微软雅黑" w:ascii="微软雅黑" w:hAnsi="微软雅黑"/>
          <w:sz w:val="32"/>
          <w:szCs w:val="32"/>
        </w:rPr>
        <w:t>KPI</w:t>
      </w:r>
      <w:r>
        <w:rPr>
          <w:rFonts w:ascii="微软雅黑" w:hAnsi="微软雅黑" w:eastAsia="微软雅黑"/>
          <w:sz w:val="32"/>
          <w:szCs w:val="32"/>
        </w:rPr>
        <w:t>指标）内容，共</w:t>
      </w:r>
      <w:r>
        <w:rPr>
          <w:rFonts w:eastAsia="微软雅黑" w:ascii="微软雅黑" w:hAnsi="微软雅黑"/>
          <w:b/>
          <w:color w:val="FF0000"/>
          <w:sz w:val="32"/>
          <w:szCs w:val="32"/>
        </w:rPr>
        <w:t>70</w:t>
      </w:r>
      <w:r>
        <w:rPr>
          <w:rFonts w:ascii="微软雅黑" w:hAnsi="微软雅黑" w:eastAsia="微软雅黑"/>
          <w:b/>
          <w:color w:val="FF0000"/>
          <w:sz w:val="32"/>
          <w:szCs w:val="32"/>
        </w:rPr>
        <w:t>余项</w:t>
      </w:r>
      <w:r>
        <w:rPr>
          <w:rFonts w:ascii="微软雅黑" w:hAnsi="微软雅黑" w:eastAsia="微软雅黑"/>
          <w:sz w:val="32"/>
          <w:szCs w:val="32"/>
        </w:rPr>
        <w:t>。具体包括</w:t>
      </w:r>
      <w:r>
        <w:rPr>
          <w:rFonts w:ascii="微软雅黑" w:hAnsi="微软雅黑" w:eastAsia="微软雅黑"/>
          <w:b/>
          <w:sz w:val="32"/>
          <w:szCs w:val="32"/>
        </w:rPr>
        <w:t>各项指标的名称、指标定义或者计算公式、指标详细说明、指标性质（基于平衡计分卡分类）、考核周期、适用范围（主要指职位）以及数据来源说明，所列指标还按照该部门的工作职能进行了科学分类。</w:t>
      </w:r>
      <w:r>
        <w:rPr>
          <w:rFonts w:ascii="微软雅黑" w:hAnsi="微软雅黑" w:eastAsia="微软雅黑"/>
          <w:sz w:val="32"/>
          <w:szCs w:val="32"/>
        </w:rPr>
        <w:t>这样，使用者就可以根据工作职能范畴或者具体的工作岗位迅速找到对应的</w:t>
      </w:r>
      <w:r>
        <w:rPr>
          <w:rFonts w:eastAsia="微软雅黑" w:ascii="微软雅黑" w:hAnsi="微软雅黑"/>
          <w:sz w:val="32"/>
          <w:szCs w:val="32"/>
        </w:rPr>
        <w:t>KPI</w:t>
      </w:r>
      <w:r>
        <w:rPr>
          <w:rFonts w:ascii="微软雅黑" w:hAnsi="微软雅黑" w:eastAsia="微软雅黑"/>
          <w:sz w:val="32"/>
          <w:szCs w:val="32"/>
        </w:rPr>
        <w:t>指标，同时还可以按照平衡计分卡的形式对所选指标进行重新组合，从而快速、准确、有效的为某岗位设置基于平衡计分卡的</w:t>
      </w:r>
      <w:r>
        <w:rPr>
          <w:rFonts w:eastAsia="微软雅黑" w:ascii="微软雅黑" w:hAnsi="微软雅黑"/>
          <w:sz w:val="32"/>
          <w:szCs w:val="32"/>
        </w:rPr>
        <w:t>KPI</w:t>
      </w:r>
      <w:r>
        <w:rPr>
          <w:rFonts w:ascii="微软雅黑" w:hAnsi="微软雅黑" w:eastAsia="微软雅黑"/>
          <w:sz w:val="32"/>
          <w:szCs w:val="32"/>
        </w:rPr>
        <w:t>指标。</w:t>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sz w:val="32"/>
          <w:szCs w:val="32"/>
        </w:rPr>
        <w:t>当然，需要注意的是，所列指标的分类方式、具体内容仅供参考，使用者不可盲目的选取使用。尤其是在</w:t>
      </w:r>
      <w:r>
        <w:rPr>
          <w:rFonts w:eastAsia="微软雅黑" w:ascii="微软雅黑" w:hAnsi="微软雅黑"/>
          <w:sz w:val="32"/>
          <w:szCs w:val="32"/>
        </w:rPr>
        <w:t>KPI</w:t>
      </w:r>
      <w:r>
        <w:rPr>
          <w:rFonts w:ascii="微软雅黑" w:hAnsi="微软雅黑" w:eastAsia="微软雅黑"/>
          <w:sz w:val="32"/>
          <w:szCs w:val="32"/>
        </w:rPr>
        <w:t>指标设定工作中，一方面需要遵循胜任力素质模型、</w:t>
      </w:r>
      <w:r>
        <w:rPr>
          <w:rFonts w:eastAsia="微软雅黑" w:ascii="微软雅黑" w:hAnsi="微软雅黑"/>
          <w:sz w:val="32"/>
          <w:szCs w:val="32"/>
        </w:rPr>
        <w:t>BSC</w:t>
      </w:r>
      <w:r>
        <w:rPr>
          <w:rFonts w:ascii="微软雅黑" w:hAnsi="微软雅黑" w:eastAsia="微软雅黑"/>
          <w:sz w:val="32"/>
          <w:szCs w:val="32"/>
        </w:rPr>
        <w:t>、</w:t>
      </w:r>
      <w:r>
        <w:rPr>
          <w:rFonts w:eastAsia="微软雅黑" w:ascii="微软雅黑" w:hAnsi="微软雅黑"/>
          <w:sz w:val="32"/>
          <w:szCs w:val="32"/>
        </w:rPr>
        <w:t>MBO</w:t>
      </w:r>
      <w:r>
        <w:rPr>
          <w:rFonts w:ascii="微软雅黑" w:hAnsi="微软雅黑" w:eastAsia="微软雅黑"/>
          <w:sz w:val="32"/>
          <w:szCs w:val="32"/>
        </w:rPr>
        <w:t>管理、</w:t>
      </w:r>
      <w:r>
        <w:rPr>
          <w:rFonts w:eastAsia="微软雅黑" w:ascii="微软雅黑" w:hAnsi="微软雅黑"/>
          <w:sz w:val="32"/>
          <w:szCs w:val="32"/>
        </w:rPr>
        <w:t>KPI</w:t>
      </w:r>
      <w:r>
        <w:rPr>
          <w:rFonts w:ascii="微软雅黑" w:hAnsi="微软雅黑" w:eastAsia="微软雅黑"/>
          <w:sz w:val="32"/>
          <w:szCs w:val="32"/>
        </w:rPr>
        <w:t>设定原则等基本理论而进行操作使用；另一方面应根据企业性质特征、具体职位要求就所列指标进行适当的调整或者灵活选取应用。</w:t>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sectPr>
          <w:headerReference w:type="default" r:id="rId5"/>
          <w:footerReference w:type="default" r:id="rId6"/>
          <w:type w:val="nextPage"/>
          <w:pgSz w:w="11906" w:h="16838"/>
          <w:pgMar w:left="1701" w:right="1701" w:header="567" w:top="1440" w:footer="992" w:bottom="1049" w:gutter="0"/>
          <w:pgNumType w:fmt="decimal"/>
          <w:formProt w:val="false"/>
          <w:textDirection w:val="lrTb"/>
          <w:docGrid w:type="lines" w:linePitch="312" w:charSpace="0"/>
        </w:sect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tbl>
      <w:tblPr>
        <w:tblStyle w:val="19"/>
        <w:tblW w:w="16105" w:type="dxa"/>
        <w:jc w:val="center"/>
        <w:tblInd w:w="0" w:type="dxa"/>
        <w:tblLayout w:type="fixed"/>
        <w:tblCellMar>
          <w:top w:w="0" w:type="dxa"/>
          <w:start w:w="108" w:type="dxa"/>
          <w:bottom w:w="0" w:type="dxa"/>
          <w:end w:w="108" w:type="dxa"/>
        </w:tblCellMar>
      </w:tblPr>
      <w:tblGrid>
        <w:gridCol w:w="1286"/>
        <w:gridCol w:w="1134"/>
        <w:gridCol w:w="1580"/>
        <w:gridCol w:w="3762"/>
        <w:gridCol w:w="3379"/>
        <w:gridCol w:w="1156"/>
        <w:gridCol w:w="709"/>
        <w:gridCol w:w="992"/>
        <w:gridCol w:w="1140"/>
        <w:gridCol w:w="965"/>
      </w:tblGrid>
      <w:tr>
        <w:trPr>
          <w:tblHeader w:val="true"/>
          <w:trHeight w:val="660" w:hRule="atLeast"/>
        </w:trPr>
        <w:tc>
          <w:tcPr>
            <w:tcW w:w="1286" w:type="dxa"/>
            <w:tcBorders>
              <w:top w:val="single" w:sz="8" w:space="0" w:color="000000"/>
              <w:start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职能维度</w:t>
            </w:r>
            <w:r>
              <w:rPr>
                <w:rFonts w:cs="宋体" w:ascii="宋体" w:hAnsi="宋体"/>
                <w:b/>
                <w:bCs/>
                <w:color w:val="000000"/>
                <w:kern w:val="0"/>
                <w:sz w:val="22"/>
                <w:szCs w:val="22"/>
              </w:rPr>
              <w:t>/</w:t>
            </w:r>
            <w:r>
              <w:rPr>
                <w:rFonts w:ascii="宋体" w:hAnsi="宋体" w:cs="宋体"/>
                <w:b/>
                <w:bCs/>
                <w:color w:val="000000"/>
                <w:kern w:val="0"/>
                <w:sz w:val="22"/>
                <w:szCs w:val="22"/>
              </w:rPr>
              <w:t>考核项目</w:t>
            </w:r>
          </w:p>
        </w:tc>
        <w:tc>
          <w:tcPr>
            <w:tcW w:w="1134"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指标分类</w:t>
            </w:r>
          </w:p>
        </w:tc>
        <w:tc>
          <w:tcPr>
            <w:tcW w:w="158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cs="宋体" w:ascii="宋体" w:hAnsi="宋体"/>
                <w:b/>
                <w:bCs/>
                <w:color w:val="000000"/>
                <w:kern w:val="0"/>
                <w:sz w:val="22"/>
                <w:szCs w:val="22"/>
              </w:rPr>
              <w:t>KPI</w:t>
            </w:r>
            <w:r>
              <w:rPr>
                <w:rFonts w:ascii="宋体" w:hAnsi="宋体" w:cs="宋体"/>
                <w:b/>
                <w:bCs/>
                <w:color w:val="000000"/>
                <w:kern w:val="0"/>
                <w:sz w:val="22"/>
                <w:szCs w:val="22"/>
              </w:rPr>
              <w:t>指标名称</w:t>
            </w:r>
          </w:p>
        </w:tc>
        <w:tc>
          <w:tcPr>
            <w:tcW w:w="3762"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指标计算公式或者定义</w:t>
            </w:r>
          </w:p>
        </w:tc>
        <w:tc>
          <w:tcPr>
            <w:tcW w:w="3379"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说明</w:t>
            </w:r>
          </w:p>
        </w:tc>
        <w:tc>
          <w:tcPr>
            <w:tcW w:w="1156"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指标性质（</w:t>
            </w:r>
            <w:r>
              <w:rPr>
                <w:rFonts w:cs="宋体" w:ascii="宋体" w:hAnsi="宋体"/>
                <w:b/>
                <w:bCs/>
                <w:color w:val="000000"/>
                <w:kern w:val="0"/>
                <w:sz w:val="22"/>
                <w:szCs w:val="22"/>
              </w:rPr>
              <w:t>BSC</w:t>
            </w:r>
            <w:r>
              <w:rPr>
                <w:rFonts w:ascii="宋体" w:hAnsi="宋体" w:cs="宋体"/>
                <w:b/>
                <w:bCs/>
                <w:color w:val="000000"/>
                <w:kern w:val="0"/>
                <w:sz w:val="22"/>
                <w:szCs w:val="22"/>
              </w:rPr>
              <w:t>）</w:t>
            </w:r>
          </w:p>
        </w:tc>
        <w:tc>
          <w:tcPr>
            <w:tcW w:w="709"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考核周期</w:t>
            </w:r>
          </w:p>
        </w:tc>
        <w:tc>
          <w:tcPr>
            <w:tcW w:w="992"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数据</w:t>
            </w:r>
          </w:p>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来源</w:t>
            </w:r>
          </w:p>
        </w:tc>
        <w:tc>
          <w:tcPr>
            <w:tcW w:w="1140" w:type="dxa"/>
            <w:tcBorders>
              <w:top w:val="single" w:sz="8" w:space="0" w:color="000000"/>
              <w:bottom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适合范围</w:t>
            </w:r>
          </w:p>
        </w:tc>
        <w:tc>
          <w:tcPr>
            <w:tcW w:w="965" w:type="dxa"/>
            <w:tcBorders>
              <w:top w:val="single" w:sz="8" w:space="0" w:color="000000"/>
              <w:start w:val="single" w:sz="4" w:space="0" w:color="000000"/>
              <w:bottom w:val="single" w:sz="4" w:space="0" w:color="000000"/>
              <w:end w:val="single" w:sz="8"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备注</w:t>
            </w:r>
          </w:p>
        </w:tc>
      </w:tr>
      <w:tr>
        <w:trPr>
          <w:trHeight w:val="900" w:hRule="atLeast"/>
        </w:trPr>
        <w:tc>
          <w:tcPr>
            <w:tcW w:w="128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客户服务综合效益</w:t>
            </w:r>
          </w:p>
        </w:tc>
        <w:tc>
          <w:tcPr>
            <w:tcW w:w="1134"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客户保有及客户满意度</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客户服务满意度</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客户服务满意度是指通过针对客户服务（包括售前、售中、售后服务）工作进行调查，取得客户的反馈及评分结果；投诉率低于</w:t>
            </w:r>
            <w:r>
              <w:rPr>
                <w:rFonts w:cs="宋体" w:ascii="宋体" w:hAnsi="宋体"/>
                <w:color w:val="000000"/>
                <w:kern w:val="0"/>
                <w:sz w:val="22"/>
                <w:szCs w:val="22"/>
              </w:rPr>
              <w:t>2%</w:t>
            </w:r>
            <w:r>
              <w:rPr>
                <w:rFonts w:ascii="宋体" w:hAnsi="宋体" w:cs="宋体"/>
                <w:color w:val="000000"/>
                <w:kern w:val="0"/>
                <w:sz w:val="22"/>
                <w:szCs w:val="22"/>
              </w:rPr>
              <w:t>。</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市场部、客服部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1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客户流失率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客户流失率</w:t>
            </w:r>
            <w:r>
              <w:rPr>
                <w:rFonts w:cs="宋体" w:ascii="宋体" w:hAnsi="宋体"/>
                <w:color w:val="000000"/>
                <w:kern w:val="0"/>
                <w:sz w:val="22"/>
                <w:szCs w:val="22"/>
              </w:rPr>
              <w:t>=</w:t>
            </w:r>
            <w:r>
              <w:rPr>
                <w:rFonts w:ascii="宋体" w:hAnsi="宋体" w:cs="宋体"/>
                <w:color w:val="000000"/>
                <w:kern w:val="0"/>
                <w:sz w:val="22"/>
                <w:szCs w:val="22"/>
              </w:rPr>
              <w:t>流失的客户数量</w:t>
            </w:r>
            <w:r>
              <w:rPr>
                <w:rFonts w:cs="宋体" w:ascii="宋体" w:hAnsi="宋体"/>
                <w:color w:val="000000"/>
                <w:kern w:val="0"/>
                <w:sz w:val="22"/>
                <w:szCs w:val="22"/>
              </w:rPr>
              <w:t>÷</w:t>
            </w:r>
            <w:r>
              <w:rPr>
                <w:rFonts w:ascii="宋体" w:hAnsi="宋体" w:cs="宋体"/>
                <w:color w:val="000000"/>
                <w:kern w:val="0"/>
                <w:sz w:val="22"/>
                <w:szCs w:val="22"/>
              </w:rPr>
              <w:t>客户总量</w:t>
            </w:r>
            <w:r>
              <w:rPr>
                <w:rFonts w:cs="宋体" w:ascii="宋体" w:hAnsi="宋体"/>
                <w:color w:val="000000"/>
                <w:kern w:val="0"/>
                <w:sz w:val="22"/>
                <w:szCs w:val="22"/>
              </w:rPr>
              <w:t>×100%</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市场部、客服部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客服部经理以上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3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客户保有率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保有率</w:t>
            </w:r>
            <w:r>
              <w:rPr>
                <w:rFonts w:cs="宋体" w:ascii="宋体" w:hAnsi="宋体"/>
                <w:color w:val="000000"/>
                <w:kern w:val="0"/>
                <w:sz w:val="22"/>
                <w:szCs w:val="22"/>
              </w:rPr>
              <w:t>=</w:t>
            </w:r>
            <w:r>
              <w:rPr>
                <w:rFonts w:ascii="宋体" w:hAnsi="宋体" w:cs="宋体"/>
                <w:color w:val="000000"/>
                <w:kern w:val="0"/>
                <w:sz w:val="22"/>
                <w:szCs w:val="22"/>
              </w:rPr>
              <w:t>客户保有量</w:t>
            </w:r>
            <w:r>
              <w:rPr>
                <w:rFonts w:cs="宋体" w:ascii="宋体" w:hAnsi="宋体"/>
                <w:color w:val="000000"/>
                <w:kern w:val="0"/>
                <w:sz w:val="22"/>
                <w:szCs w:val="22"/>
              </w:rPr>
              <w:t>÷</w:t>
            </w:r>
            <w:r>
              <w:rPr>
                <w:rFonts w:ascii="宋体" w:hAnsi="宋体" w:cs="宋体"/>
                <w:color w:val="000000"/>
                <w:kern w:val="0"/>
                <w:sz w:val="22"/>
                <w:szCs w:val="22"/>
              </w:rPr>
              <w:t>客户总量</w:t>
            </w:r>
            <w:r>
              <w:rPr>
                <w:rFonts w:cs="宋体" w:ascii="宋体" w:hAnsi="宋体"/>
                <w:color w:val="000000"/>
                <w:kern w:val="0"/>
                <w:sz w:val="22"/>
                <w:szCs w:val="22"/>
              </w:rPr>
              <w:t>×100%</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保有量是指按照特定的标准计算的客户量。</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市场部、客服部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客服部经理以上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销售额或客户回款</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客户二次开发销售额目标达成率</w:t>
            </w:r>
          </w:p>
        </w:tc>
        <w:tc>
          <w:tcPr>
            <w:tcW w:w="3762" w:type="dxa"/>
            <w:tcBorders>
              <w:bottom w:val="single" w:sz="4" w:space="0" w:color="000000"/>
              <w:end w:val="single" w:sz="4" w:space="0" w:color="000000"/>
            </w:tcBorders>
            <w:shd w:color="000000" w:fill="FFFFFF"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二次开发销售额目标达成率</w:t>
            </w:r>
            <w:r>
              <w:rPr>
                <w:rFonts w:cs="宋体" w:ascii="宋体" w:hAnsi="宋体"/>
                <w:color w:val="000000"/>
                <w:kern w:val="0"/>
                <w:sz w:val="22"/>
                <w:szCs w:val="22"/>
              </w:rPr>
              <w:t>=</w:t>
            </w:r>
            <w:r>
              <w:rPr>
                <w:rFonts w:ascii="宋体" w:hAnsi="宋体" w:cs="宋体"/>
                <w:color w:val="000000"/>
                <w:kern w:val="0"/>
                <w:sz w:val="22"/>
                <w:szCs w:val="22"/>
              </w:rPr>
              <w:t>客户二次开发实际完成销售额</w:t>
            </w:r>
            <w:r>
              <w:rPr>
                <w:rFonts w:cs="宋体" w:ascii="宋体" w:hAnsi="宋体"/>
                <w:color w:val="000000"/>
                <w:kern w:val="0"/>
                <w:sz w:val="22"/>
                <w:szCs w:val="22"/>
              </w:rPr>
              <w:t>÷</w:t>
            </w:r>
            <w:r>
              <w:rPr>
                <w:rFonts w:ascii="宋体" w:hAnsi="宋体" w:cs="宋体"/>
                <w:color w:val="000000"/>
                <w:kern w:val="0"/>
                <w:sz w:val="22"/>
                <w:szCs w:val="22"/>
              </w:rPr>
              <w:t>计划二次开发销售额</w:t>
            </w:r>
            <w:r>
              <w:rPr>
                <w:rFonts w:cs="宋体" w:ascii="宋体" w:hAnsi="宋体"/>
                <w:color w:val="000000"/>
                <w:kern w:val="0"/>
                <w:sz w:val="22"/>
                <w:szCs w:val="22"/>
              </w:rPr>
              <w:t>×100</w:t>
            </w:r>
            <w:r>
              <w:rPr>
                <w:rFonts w:ascii="宋体" w:hAnsi="宋体" w:cs="宋体"/>
                <w:color w:val="000000"/>
                <w:kern w:val="0"/>
                <w:sz w:val="22"/>
                <w:szCs w:val="22"/>
              </w:rPr>
              <w:t>％</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财务部、销售部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客服部经理以上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新增客户销售额目标达成率</w:t>
            </w:r>
          </w:p>
        </w:tc>
        <w:tc>
          <w:tcPr>
            <w:tcW w:w="3762" w:type="dxa"/>
            <w:tcBorders>
              <w:bottom w:val="single" w:sz="4" w:space="0" w:color="000000"/>
              <w:end w:val="single" w:sz="4" w:space="0" w:color="000000"/>
            </w:tcBorders>
            <w:shd w:color="000000" w:fill="FFFFFF"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销售额目标达成率</w:t>
            </w:r>
            <w:r>
              <w:rPr>
                <w:rFonts w:cs="宋体" w:ascii="宋体" w:hAnsi="宋体"/>
                <w:color w:val="000000"/>
                <w:kern w:val="0"/>
                <w:sz w:val="22"/>
                <w:szCs w:val="22"/>
              </w:rPr>
              <w:t>=</w:t>
            </w:r>
            <w:r>
              <w:rPr>
                <w:rFonts w:ascii="宋体" w:hAnsi="宋体" w:cs="宋体"/>
                <w:color w:val="000000"/>
                <w:kern w:val="0"/>
                <w:sz w:val="22"/>
                <w:szCs w:val="22"/>
              </w:rPr>
              <w:t>实际新增客户销售额</w:t>
            </w:r>
            <w:r>
              <w:rPr>
                <w:rFonts w:cs="宋体" w:ascii="宋体" w:hAnsi="宋体"/>
                <w:color w:val="000000"/>
                <w:kern w:val="0"/>
                <w:sz w:val="22"/>
                <w:szCs w:val="22"/>
              </w:rPr>
              <w:t>÷</w:t>
            </w:r>
            <w:r>
              <w:rPr>
                <w:rFonts w:ascii="宋体" w:hAnsi="宋体" w:cs="宋体"/>
                <w:color w:val="000000"/>
                <w:kern w:val="0"/>
                <w:sz w:val="22"/>
                <w:szCs w:val="22"/>
              </w:rPr>
              <w:t>计划开发客户销售额</w:t>
            </w:r>
            <w:r>
              <w:rPr>
                <w:rFonts w:cs="宋体" w:ascii="宋体" w:hAnsi="宋体"/>
                <w:color w:val="000000"/>
                <w:kern w:val="0"/>
                <w:sz w:val="22"/>
                <w:szCs w:val="22"/>
              </w:rPr>
              <w:t>×100</w:t>
            </w:r>
            <w:r>
              <w:rPr>
                <w:rFonts w:ascii="宋体" w:hAnsi="宋体" w:cs="宋体"/>
                <w:color w:val="000000"/>
                <w:kern w:val="0"/>
                <w:sz w:val="22"/>
                <w:szCs w:val="22"/>
              </w:rPr>
              <w:t>％</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主要指通过销售性质的客户服务而产生新的客户，例如电话服务、在线服务等。</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财务部、销售部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客服部经理以上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8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客户回款率</w:t>
            </w:r>
          </w:p>
        </w:tc>
        <w:tc>
          <w:tcPr>
            <w:tcW w:w="3762" w:type="dxa"/>
            <w:tcBorders>
              <w:bottom w:val="single" w:sz="4" w:space="0" w:color="000000"/>
              <w:end w:val="single" w:sz="4" w:space="0" w:color="000000"/>
            </w:tcBorders>
            <w:shd w:color="000000" w:fill="FFFFFF"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客户回款率</w:t>
            </w:r>
            <w:r>
              <w:rPr>
                <w:rFonts w:cs="宋体" w:ascii="宋体" w:hAnsi="宋体"/>
                <w:color w:val="000000"/>
                <w:kern w:val="0"/>
                <w:sz w:val="22"/>
                <w:szCs w:val="22"/>
              </w:rPr>
              <w:t>=</w:t>
            </w:r>
            <w:r>
              <w:rPr>
                <w:rFonts w:ascii="宋体" w:hAnsi="宋体" w:cs="宋体"/>
                <w:color w:val="000000"/>
                <w:kern w:val="0"/>
                <w:sz w:val="22"/>
                <w:szCs w:val="22"/>
              </w:rPr>
              <w:t>实际客户回款额</w:t>
            </w:r>
            <w:r>
              <w:rPr>
                <w:rFonts w:cs="宋体" w:ascii="宋体" w:hAnsi="宋体"/>
                <w:color w:val="000000"/>
                <w:kern w:val="0"/>
                <w:sz w:val="22"/>
                <w:szCs w:val="22"/>
              </w:rPr>
              <w:t>÷</w:t>
            </w:r>
            <w:r>
              <w:rPr>
                <w:rFonts w:ascii="宋体" w:hAnsi="宋体" w:cs="宋体"/>
                <w:color w:val="000000"/>
                <w:kern w:val="0"/>
                <w:sz w:val="22"/>
                <w:szCs w:val="22"/>
              </w:rPr>
              <w:t>计划客户回款额</w:t>
            </w:r>
            <w:r>
              <w:rPr>
                <w:rFonts w:cs="宋体" w:ascii="宋体" w:hAnsi="宋体"/>
                <w:color w:val="000000"/>
                <w:kern w:val="0"/>
                <w:sz w:val="22"/>
                <w:szCs w:val="22"/>
              </w:rPr>
              <w:t>×100</w:t>
            </w:r>
            <w:r>
              <w:rPr>
                <w:rFonts w:ascii="宋体" w:hAnsi="宋体" w:cs="宋体"/>
                <w:color w:val="000000"/>
                <w:kern w:val="0"/>
                <w:sz w:val="22"/>
                <w:szCs w:val="22"/>
              </w:rPr>
              <w:t>％</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财务部、销售部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客服部经理以上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新增客户销售增长率</w:t>
            </w:r>
          </w:p>
        </w:tc>
        <w:tc>
          <w:tcPr>
            <w:tcW w:w="3762" w:type="dxa"/>
            <w:tcBorders>
              <w:bottom w:val="single" w:sz="4" w:space="0" w:color="000000"/>
              <w:end w:val="single" w:sz="4" w:space="0" w:color="000000"/>
            </w:tcBorders>
            <w:shd w:color="000000" w:fill="FFFFFF"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新增客户销售增长率</w:t>
            </w:r>
            <w:r>
              <w:rPr>
                <w:rFonts w:cs="宋体" w:ascii="宋体" w:hAnsi="宋体"/>
                <w:color w:val="000000"/>
                <w:kern w:val="0"/>
                <w:sz w:val="22"/>
                <w:szCs w:val="22"/>
              </w:rPr>
              <w:t>=</w:t>
            </w:r>
            <w:r>
              <w:rPr>
                <w:rFonts w:ascii="宋体" w:hAnsi="宋体" w:cs="宋体"/>
                <w:color w:val="000000"/>
                <w:kern w:val="0"/>
                <w:sz w:val="22"/>
                <w:szCs w:val="22"/>
              </w:rPr>
              <w:t>（本期新增客户销售额</w:t>
            </w:r>
            <w:r>
              <w:rPr>
                <w:rFonts w:cs="宋体" w:ascii="宋体" w:hAnsi="宋体"/>
                <w:color w:val="000000"/>
                <w:kern w:val="0"/>
                <w:sz w:val="22"/>
                <w:szCs w:val="22"/>
              </w:rPr>
              <w:t>-</w:t>
            </w:r>
            <w:r>
              <w:rPr>
                <w:rFonts w:ascii="宋体" w:hAnsi="宋体" w:cs="宋体"/>
                <w:color w:val="000000"/>
                <w:kern w:val="0"/>
                <w:sz w:val="22"/>
                <w:szCs w:val="22"/>
              </w:rPr>
              <w:t>上期新增客户销售额）</w:t>
            </w:r>
            <w:r>
              <w:rPr>
                <w:rFonts w:cs="宋体" w:ascii="宋体" w:hAnsi="宋体"/>
                <w:color w:val="000000"/>
                <w:kern w:val="0"/>
                <w:sz w:val="22"/>
                <w:szCs w:val="22"/>
              </w:rPr>
              <w:t>/</w:t>
            </w:r>
            <w:r>
              <w:rPr>
                <w:rFonts w:ascii="宋体" w:hAnsi="宋体" w:cs="宋体"/>
                <w:color w:val="000000"/>
                <w:kern w:val="0"/>
                <w:sz w:val="22"/>
                <w:szCs w:val="22"/>
              </w:rPr>
              <w:t>上期新增客户销售额</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财务部、销售部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客服部经理以上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客户开发</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客户二次开发成功率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新客户增加率</w:t>
            </w:r>
            <w:r>
              <w:rPr>
                <w:rFonts w:cs="宋体" w:ascii="宋体" w:hAnsi="宋体"/>
                <w:color w:val="000000"/>
                <w:kern w:val="0"/>
                <w:sz w:val="22"/>
                <w:szCs w:val="22"/>
              </w:rPr>
              <w:t>=</w:t>
            </w:r>
            <w:r>
              <w:rPr>
                <w:rFonts w:ascii="宋体" w:hAnsi="宋体" w:cs="宋体"/>
                <w:color w:val="000000"/>
                <w:kern w:val="0"/>
                <w:sz w:val="22"/>
                <w:szCs w:val="22"/>
              </w:rPr>
              <w:t>新增客户量</w:t>
            </w:r>
            <w:r>
              <w:rPr>
                <w:rFonts w:cs="宋体" w:ascii="宋体" w:hAnsi="宋体"/>
                <w:color w:val="000000"/>
                <w:kern w:val="0"/>
                <w:sz w:val="22"/>
                <w:szCs w:val="22"/>
              </w:rPr>
              <w:t>÷</w:t>
            </w:r>
            <w:r>
              <w:rPr>
                <w:rFonts w:ascii="宋体" w:hAnsi="宋体" w:cs="宋体"/>
                <w:color w:val="000000"/>
                <w:kern w:val="0"/>
                <w:sz w:val="22"/>
                <w:szCs w:val="22"/>
              </w:rPr>
              <w:t>计划新增客户总量</w:t>
            </w:r>
            <w:r>
              <w:rPr>
                <w:rFonts w:cs="宋体" w:ascii="宋体" w:hAnsi="宋体"/>
                <w:color w:val="000000"/>
                <w:kern w:val="0"/>
                <w:sz w:val="22"/>
                <w:szCs w:val="22"/>
              </w:rPr>
              <w:t>×100</w:t>
            </w:r>
            <w:r>
              <w:rPr>
                <w:rFonts w:ascii="宋体" w:hAnsi="宋体" w:cs="宋体"/>
                <w:color w:val="000000"/>
                <w:kern w:val="0"/>
                <w:sz w:val="22"/>
                <w:szCs w:val="22"/>
              </w:rPr>
              <w:t>％</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通过客服服务实现二次开发。</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销售部、市场部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重点客户流失量的控制</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无流失；或者重点客户保持持续增长，增长率为</w:t>
            </w:r>
            <w:r>
              <w:rPr>
                <w:rFonts w:cs="宋体" w:ascii="宋体" w:hAnsi="宋体"/>
                <w:color w:val="000000"/>
                <w:kern w:val="0"/>
                <w:sz w:val="22"/>
                <w:szCs w:val="22"/>
              </w:rPr>
              <w:t>20%</w:t>
            </w:r>
            <w:r>
              <w:rPr>
                <w:rFonts w:ascii="宋体" w:hAnsi="宋体" w:cs="宋体"/>
                <w:color w:val="000000"/>
                <w:kern w:val="0"/>
                <w:sz w:val="22"/>
                <w:szCs w:val="22"/>
              </w:rPr>
              <w:t>。</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注：此为关联因素，重点客户的流失还与销售人员的工作、产品质量等因素有关。</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销售部、市场部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95" w:hRule="atLeast"/>
        </w:trPr>
        <w:tc>
          <w:tcPr>
            <w:tcW w:w="128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售前服务</w:t>
            </w:r>
          </w:p>
        </w:tc>
        <w:tc>
          <w:tcPr>
            <w:tcW w:w="1134"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客户咨询回应</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客户咨询回应及时性</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主要指电话、现场咨询服务过程中对客户问题回应的及时性。</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9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客户咨询问题处理的规范性</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主要指客服人员按照企业客户服务管理标准进行规范性的咨询答复及问题处理。</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客户咨询回应有效性</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主要指客户对客服人员答复的满意度。</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咨询服务有效率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成功产生的有效客户（包括意向客户）数量</w:t>
            </w:r>
            <w:r>
              <w:rPr>
                <w:rFonts w:cs="宋体" w:ascii="宋体" w:hAnsi="宋体"/>
                <w:color w:val="000000"/>
                <w:kern w:val="0"/>
                <w:sz w:val="22"/>
                <w:szCs w:val="22"/>
              </w:rPr>
              <w:t>÷</w:t>
            </w:r>
            <w:r>
              <w:rPr>
                <w:rFonts w:ascii="宋体" w:hAnsi="宋体" w:cs="宋体"/>
                <w:color w:val="000000"/>
                <w:kern w:val="0"/>
                <w:sz w:val="22"/>
                <w:szCs w:val="22"/>
              </w:rPr>
              <w:t>咨询的客户总量</w:t>
            </w:r>
            <w:r>
              <w:rPr>
                <w:rFonts w:cs="宋体" w:ascii="宋体" w:hAnsi="宋体"/>
                <w:color w:val="000000"/>
                <w:kern w:val="0"/>
                <w:sz w:val="22"/>
                <w:szCs w:val="22"/>
              </w:rPr>
              <w:t>×100%</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该指标适合销售性质的客服岗位。</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销售部、客服部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产品宣传服务</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宣传推广覆盖率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实际宣传推广到达的客户数量</w:t>
            </w:r>
            <w:r>
              <w:rPr>
                <w:rFonts w:cs="宋体" w:ascii="宋体" w:hAnsi="宋体"/>
                <w:color w:val="000000"/>
                <w:kern w:val="0"/>
                <w:sz w:val="22"/>
                <w:szCs w:val="22"/>
              </w:rPr>
              <w:t>÷</w:t>
            </w:r>
            <w:r>
              <w:rPr>
                <w:rFonts w:ascii="宋体" w:hAnsi="宋体" w:cs="宋体"/>
                <w:color w:val="000000"/>
                <w:kern w:val="0"/>
                <w:sz w:val="22"/>
                <w:szCs w:val="22"/>
              </w:rPr>
              <w:t>计划宣传推广的客户总量</w:t>
            </w:r>
            <w:r>
              <w:rPr>
                <w:rFonts w:cs="宋体" w:ascii="宋体" w:hAnsi="宋体"/>
                <w:color w:val="000000"/>
                <w:kern w:val="0"/>
                <w:sz w:val="22"/>
                <w:szCs w:val="22"/>
              </w:rPr>
              <w:t>×100%</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主要指短信通知、邮件通知、网络媒体等方式进行售前的推广服务。</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客服部、市场部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宣传推广有效率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成功产生的有效客户（包括意向客户）数量</w:t>
            </w:r>
            <w:r>
              <w:rPr>
                <w:rFonts w:cs="宋体" w:ascii="宋体" w:hAnsi="宋体"/>
                <w:color w:val="000000"/>
                <w:kern w:val="0"/>
                <w:sz w:val="22"/>
                <w:szCs w:val="22"/>
              </w:rPr>
              <w:t>÷</w:t>
            </w:r>
            <w:r>
              <w:rPr>
                <w:rFonts w:ascii="宋体" w:hAnsi="宋体" w:cs="宋体"/>
                <w:color w:val="000000"/>
                <w:kern w:val="0"/>
                <w:sz w:val="22"/>
                <w:szCs w:val="22"/>
              </w:rPr>
              <w:t>宣传推广的客户总量</w:t>
            </w:r>
            <w:r>
              <w:rPr>
                <w:rFonts w:cs="宋体" w:ascii="宋体" w:hAnsi="宋体"/>
                <w:color w:val="000000"/>
                <w:kern w:val="0"/>
                <w:sz w:val="22"/>
                <w:szCs w:val="22"/>
              </w:rPr>
              <w:t>×100%</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该指标适合销售性质的客服岗位。</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销售部、客服部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15" w:hRule="atLeast"/>
        </w:trPr>
        <w:tc>
          <w:tcPr>
            <w:tcW w:w="128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售后服务</w:t>
            </w:r>
          </w:p>
        </w:tc>
        <w:tc>
          <w:tcPr>
            <w:tcW w:w="1134"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订单处理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订单处理及时性</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制单及时、发货及时。</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销售部、客服部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订单处理准确性</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订单信息准确、发货准确。</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关于发货、送货等物流方面工作，需要结合物流部门的相关考核指标进行评价。</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销售部、客服部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客户回访</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客户回访数量及频率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主要指定期对客户进行回访。</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客户回访规范性</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主要指按照公司客户服务标准与要求对客户进行回访。例如客户拜访的行为规范、邮件回访的内容与格式规范等。</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2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客户问题处理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客户咨询、投诉处理及时性及有效性（投诉满意率）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主要指及时回复客户的问题咨询、投诉，并获得客户的好评，甚至成功实现二次开发。</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投诉满意率</w:t>
            </w:r>
            <w:r>
              <w:rPr>
                <w:rFonts w:cs="宋体" w:ascii="宋体" w:hAnsi="宋体"/>
                <w:color w:val="000000"/>
                <w:kern w:val="0"/>
                <w:sz w:val="20"/>
                <w:szCs w:val="20"/>
              </w:rPr>
              <w:t>=</w:t>
            </w:r>
            <w:r>
              <w:rPr>
                <w:rFonts w:ascii="宋体" w:hAnsi="宋体" w:cs="宋体"/>
                <w:color w:val="000000"/>
                <w:kern w:val="0"/>
                <w:sz w:val="20"/>
                <w:szCs w:val="20"/>
              </w:rPr>
              <w:t>客户对解决结果满意的投诉数量</w:t>
            </w:r>
            <w:r>
              <w:rPr>
                <w:rFonts w:cs="宋体" w:ascii="宋体" w:hAnsi="宋体"/>
                <w:color w:val="000000"/>
                <w:kern w:val="0"/>
                <w:sz w:val="20"/>
                <w:szCs w:val="20"/>
              </w:rPr>
              <w:t>÷</w:t>
            </w:r>
            <w:r>
              <w:rPr>
                <w:rFonts w:ascii="宋体" w:hAnsi="宋体" w:cs="宋体"/>
                <w:color w:val="000000"/>
                <w:kern w:val="0"/>
                <w:sz w:val="20"/>
                <w:szCs w:val="20"/>
              </w:rPr>
              <w:t>总投诉数量</w:t>
            </w:r>
            <w:r>
              <w:rPr>
                <w:rFonts w:cs="宋体" w:ascii="宋体" w:hAnsi="宋体"/>
                <w:color w:val="000000"/>
                <w:kern w:val="0"/>
                <w:sz w:val="20"/>
                <w:szCs w:val="20"/>
              </w:rPr>
              <w:t>×100</w:t>
            </w:r>
            <w:r>
              <w:rPr>
                <w:rFonts w:ascii="宋体" w:hAnsi="宋体" w:cs="宋体"/>
                <w:color w:val="000000"/>
                <w:kern w:val="0"/>
                <w:sz w:val="20"/>
                <w:szCs w:val="20"/>
              </w:rPr>
              <w:t>％。</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客服部、市场部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5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售后维修服务的及时性</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主要指按照公司客户服务要求（例如客户反馈问题</w:t>
            </w:r>
            <w:r>
              <w:rPr>
                <w:rFonts w:cs="宋体" w:ascii="宋体" w:hAnsi="宋体"/>
                <w:color w:val="000000"/>
                <w:kern w:val="0"/>
                <w:sz w:val="22"/>
                <w:szCs w:val="22"/>
              </w:rPr>
              <w:t>12</w:t>
            </w:r>
            <w:r>
              <w:rPr>
                <w:rFonts w:ascii="宋体" w:hAnsi="宋体" w:cs="宋体"/>
                <w:color w:val="000000"/>
                <w:kern w:val="0"/>
                <w:sz w:val="22"/>
                <w:szCs w:val="22"/>
              </w:rPr>
              <w:t>小时内）安排或者实施维修服务。</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售后维修服务的质量</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结合公司内部对维修服务结果的评价以及客户的评价。</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28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客户关系管理</w:t>
            </w:r>
          </w:p>
        </w:tc>
        <w:tc>
          <w:tcPr>
            <w:tcW w:w="1134"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客户关系管理体计划与信息系统建设</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客户关系管理计划的合理性</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客户关系管理计划及策略制定的合理性及其可行性，且得到领导认可。</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0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客户关系维护策略制定</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按照客户的实力、信用度等维度就客户进行分类、分级管理，并制定相应的关系维护策略。</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客户关系管理信息系统建设</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建立健全的售后服务信息管理系统并及时更新。</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客户关系管理信息系统具体包括客户服务档案、质量跟踪及反馈、客户投诉管理、客户需求分析管理等。</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客户数据与信息管理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客户数据与信息整理的及时性</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及时记录并整理客户数据与信息，分类、分级管理。</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客户数据与信息的完整性</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完整性是指包括客户基本信息、销售记录、客户服务跟踪记录，等等，且内容得到妥善保存。</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客户数据与信息的准确性</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记录与整理的客户数据与信息准确无误。</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客户沟通</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良好、灵活的沟通渠道</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定期与政府、相关企业、媒体、大客户等与市场联系紧密的机构进行沟通，包括针对不同对象采取灵活的沟通渠道与方式。</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客户回访数量及频率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客户回访是指按照公司统一要求对客户进行定期的回访。</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客户问题处理</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主要指针对客户咨询、投诉的问题，进行及时有效的答复或者合理的处理，并获得客户的满意。</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投诉满意率</w:t>
            </w:r>
            <w:r>
              <w:rPr>
                <w:rFonts w:cs="宋体" w:ascii="宋体" w:hAnsi="宋体"/>
                <w:color w:val="000000"/>
                <w:kern w:val="0"/>
                <w:sz w:val="20"/>
                <w:szCs w:val="20"/>
              </w:rPr>
              <w:t>=</w:t>
            </w:r>
            <w:r>
              <w:rPr>
                <w:rFonts w:ascii="宋体" w:hAnsi="宋体" w:cs="宋体"/>
                <w:color w:val="000000"/>
                <w:kern w:val="0"/>
                <w:sz w:val="20"/>
                <w:szCs w:val="20"/>
              </w:rPr>
              <w:t>客户对解决结果满意的投诉数量</w:t>
            </w:r>
            <w:r>
              <w:rPr>
                <w:rFonts w:cs="宋体" w:ascii="宋体" w:hAnsi="宋体"/>
                <w:color w:val="000000"/>
                <w:kern w:val="0"/>
                <w:sz w:val="20"/>
                <w:szCs w:val="20"/>
              </w:rPr>
              <w:t>÷</w:t>
            </w:r>
            <w:r>
              <w:rPr>
                <w:rFonts w:ascii="宋体" w:hAnsi="宋体" w:cs="宋体"/>
                <w:color w:val="000000"/>
                <w:kern w:val="0"/>
                <w:sz w:val="20"/>
                <w:szCs w:val="20"/>
              </w:rPr>
              <w:t>总投诉数量</w:t>
            </w:r>
            <w:r>
              <w:rPr>
                <w:rFonts w:cs="宋体" w:ascii="宋体" w:hAnsi="宋体"/>
                <w:color w:val="000000"/>
                <w:kern w:val="0"/>
                <w:sz w:val="20"/>
                <w:szCs w:val="20"/>
              </w:rPr>
              <w:t>×100</w:t>
            </w:r>
            <w:r>
              <w:rPr>
                <w:rFonts w:ascii="宋体" w:hAnsi="宋体" w:cs="宋体"/>
                <w:color w:val="000000"/>
                <w:kern w:val="0"/>
                <w:sz w:val="20"/>
                <w:szCs w:val="20"/>
              </w:rPr>
              <w:t>％。</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公关活动</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活动数量</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按照客户关系管理计划，针对客户开展的公关活动的数量。（尤指针对重点客户）</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客服部、市场部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活动质量</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活动质量是指达到预期目标或者效果。</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客服部、市场部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57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增值服务</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服务到达率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主要指公司为重点客户所提供增值服务的客户覆盖率。</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1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服务反馈效果</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客户对增值服务的满意度。</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30" w:hRule="atLeast"/>
        </w:trPr>
        <w:tc>
          <w:tcPr>
            <w:tcW w:w="128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渠道关系管理</w:t>
            </w:r>
          </w:p>
        </w:tc>
        <w:tc>
          <w:tcPr>
            <w:tcW w:w="1134"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渠道关系维护综合效益</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渠道商服务满意度</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指通过针对渠道商关系维护服务工作进行调查，取得渠道商的反馈及评分结果。</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渠道关系维护人员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3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重点渠道商流失率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重点渠道商流失率</w:t>
            </w:r>
            <w:r>
              <w:rPr>
                <w:rFonts w:cs="宋体" w:ascii="宋体" w:hAnsi="宋体"/>
                <w:color w:val="000000"/>
                <w:kern w:val="0"/>
                <w:sz w:val="22"/>
                <w:szCs w:val="22"/>
              </w:rPr>
              <w:t>=</w:t>
            </w:r>
            <w:r>
              <w:rPr>
                <w:rFonts w:ascii="宋体" w:hAnsi="宋体" w:cs="宋体"/>
                <w:color w:val="000000"/>
                <w:kern w:val="0"/>
                <w:sz w:val="22"/>
                <w:szCs w:val="22"/>
              </w:rPr>
              <w:t>流失的重点渠道商数量</w:t>
            </w:r>
            <w:r>
              <w:rPr>
                <w:rFonts w:cs="宋体" w:ascii="宋体" w:hAnsi="宋体"/>
                <w:color w:val="000000"/>
                <w:kern w:val="0"/>
                <w:sz w:val="22"/>
                <w:szCs w:val="22"/>
              </w:rPr>
              <w:t>÷</w:t>
            </w:r>
            <w:r>
              <w:rPr>
                <w:rFonts w:ascii="宋体" w:hAnsi="宋体" w:cs="宋体"/>
                <w:color w:val="000000"/>
                <w:kern w:val="0"/>
                <w:sz w:val="22"/>
                <w:szCs w:val="22"/>
              </w:rPr>
              <w:t>渠道商总量</w:t>
            </w:r>
            <w:r>
              <w:rPr>
                <w:rFonts w:cs="宋体" w:ascii="宋体" w:hAnsi="宋体"/>
                <w:color w:val="000000"/>
                <w:kern w:val="0"/>
                <w:sz w:val="22"/>
                <w:szCs w:val="22"/>
              </w:rPr>
              <w:t>×100%</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渠道关系维护主管以上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49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渠道商保有率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保有率</w:t>
            </w:r>
            <w:r>
              <w:rPr>
                <w:rFonts w:cs="宋体" w:ascii="宋体" w:hAnsi="宋体"/>
                <w:color w:val="000000"/>
                <w:kern w:val="0"/>
                <w:sz w:val="22"/>
                <w:szCs w:val="22"/>
              </w:rPr>
              <w:t>=</w:t>
            </w:r>
            <w:r>
              <w:rPr>
                <w:rFonts w:ascii="宋体" w:hAnsi="宋体" w:cs="宋体"/>
                <w:color w:val="000000"/>
                <w:kern w:val="0"/>
                <w:sz w:val="22"/>
                <w:szCs w:val="22"/>
              </w:rPr>
              <w:t>渠道商保有量</w:t>
            </w:r>
            <w:r>
              <w:rPr>
                <w:rFonts w:cs="宋体" w:ascii="宋体" w:hAnsi="宋体"/>
                <w:color w:val="000000"/>
                <w:kern w:val="0"/>
                <w:sz w:val="22"/>
                <w:szCs w:val="22"/>
              </w:rPr>
              <w:t>÷</w:t>
            </w:r>
            <w:r>
              <w:rPr>
                <w:rFonts w:ascii="宋体" w:hAnsi="宋体" w:cs="宋体"/>
                <w:color w:val="000000"/>
                <w:kern w:val="0"/>
                <w:sz w:val="22"/>
                <w:szCs w:val="22"/>
              </w:rPr>
              <w:t>渠道商总量</w:t>
            </w:r>
            <w:r>
              <w:rPr>
                <w:rFonts w:cs="宋体" w:ascii="宋体" w:hAnsi="宋体"/>
                <w:color w:val="000000"/>
                <w:kern w:val="0"/>
                <w:sz w:val="22"/>
                <w:szCs w:val="22"/>
              </w:rPr>
              <w:t>×100%</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渠道关系维护主管以上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新增渠道商销售目标达成率</w:t>
            </w:r>
          </w:p>
        </w:tc>
        <w:tc>
          <w:tcPr>
            <w:tcW w:w="3762" w:type="dxa"/>
            <w:tcBorders>
              <w:bottom w:val="single" w:sz="4" w:space="0" w:color="000000"/>
              <w:end w:val="single" w:sz="4" w:space="0" w:color="000000"/>
            </w:tcBorders>
            <w:shd w:color="000000" w:fill="FFFFFF" w:val="clea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销售额目标达成率</w:t>
            </w:r>
            <w:r>
              <w:rPr>
                <w:rFonts w:cs="宋体" w:ascii="宋体" w:hAnsi="宋体"/>
                <w:color w:val="000000"/>
                <w:kern w:val="0"/>
                <w:sz w:val="22"/>
                <w:szCs w:val="22"/>
              </w:rPr>
              <w:t>=</w:t>
            </w:r>
            <w:r>
              <w:rPr>
                <w:rFonts w:ascii="宋体" w:hAnsi="宋体" w:cs="宋体"/>
                <w:color w:val="000000"/>
                <w:kern w:val="0"/>
                <w:sz w:val="22"/>
                <w:szCs w:val="22"/>
              </w:rPr>
              <w:t>实际新增渠道商销售额</w:t>
            </w:r>
            <w:r>
              <w:rPr>
                <w:rFonts w:cs="宋体" w:ascii="宋体" w:hAnsi="宋体"/>
                <w:color w:val="000000"/>
                <w:kern w:val="0"/>
                <w:sz w:val="22"/>
                <w:szCs w:val="22"/>
              </w:rPr>
              <w:t>÷</w:t>
            </w:r>
            <w:r>
              <w:rPr>
                <w:rFonts w:ascii="宋体" w:hAnsi="宋体" w:cs="宋体"/>
                <w:color w:val="000000"/>
                <w:kern w:val="0"/>
                <w:sz w:val="22"/>
                <w:szCs w:val="22"/>
              </w:rPr>
              <w:t>计划开发渠道商销售额</w:t>
            </w:r>
            <w:r>
              <w:rPr>
                <w:rFonts w:cs="宋体" w:ascii="宋体" w:hAnsi="宋体"/>
                <w:color w:val="000000"/>
                <w:kern w:val="0"/>
                <w:sz w:val="22"/>
                <w:szCs w:val="22"/>
              </w:rPr>
              <w:t>×100</w:t>
            </w:r>
            <w:r>
              <w:rPr>
                <w:rFonts w:ascii="宋体" w:hAnsi="宋体" w:cs="宋体"/>
                <w:color w:val="000000"/>
                <w:kern w:val="0"/>
                <w:sz w:val="22"/>
                <w:szCs w:val="22"/>
              </w:rPr>
              <w:t>％</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财务部、销售部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渠道关系维护主管以上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3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渠道货款回收及时率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货款回收及时率</w:t>
            </w:r>
            <w:r>
              <w:rPr>
                <w:rFonts w:cs="宋体" w:ascii="宋体" w:hAnsi="宋体"/>
                <w:color w:val="000000"/>
                <w:kern w:val="0"/>
                <w:sz w:val="22"/>
                <w:szCs w:val="22"/>
              </w:rPr>
              <w:t>=</w:t>
            </w:r>
            <w:r>
              <w:rPr>
                <w:rFonts w:ascii="宋体" w:hAnsi="宋体" w:cs="宋体"/>
                <w:color w:val="000000"/>
                <w:kern w:val="0"/>
                <w:sz w:val="22"/>
                <w:szCs w:val="22"/>
              </w:rPr>
              <w:t>及时回收货款额</w:t>
            </w:r>
            <w:r>
              <w:rPr>
                <w:rFonts w:cs="宋体" w:ascii="宋体" w:hAnsi="宋体"/>
                <w:color w:val="000000"/>
                <w:kern w:val="0"/>
                <w:sz w:val="22"/>
                <w:szCs w:val="22"/>
              </w:rPr>
              <w:t>÷</w:t>
            </w:r>
            <w:r>
              <w:rPr>
                <w:rFonts w:ascii="宋体" w:hAnsi="宋体" w:cs="宋体"/>
                <w:color w:val="000000"/>
                <w:kern w:val="0"/>
                <w:sz w:val="22"/>
                <w:szCs w:val="22"/>
              </w:rPr>
              <w:t>应收货款额</w:t>
            </w:r>
            <w:r>
              <w:rPr>
                <w:rFonts w:cs="宋体" w:ascii="宋体" w:hAnsi="宋体"/>
                <w:color w:val="000000"/>
                <w:kern w:val="0"/>
                <w:sz w:val="22"/>
                <w:szCs w:val="22"/>
              </w:rPr>
              <w:t>(</w:t>
            </w:r>
            <w:r>
              <w:rPr>
                <w:rFonts w:ascii="宋体" w:hAnsi="宋体" w:cs="宋体"/>
                <w:color w:val="000000"/>
                <w:kern w:val="0"/>
                <w:sz w:val="22"/>
                <w:szCs w:val="22"/>
              </w:rPr>
              <w:t>不含银行费用</w:t>
            </w:r>
            <w:r>
              <w:rPr>
                <w:rFonts w:cs="宋体" w:ascii="宋体" w:hAnsi="宋体"/>
                <w:color w:val="000000"/>
                <w:kern w:val="0"/>
                <w:sz w:val="22"/>
                <w:szCs w:val="22"/>
              </w:rPr>
              <w:t>)×100</w:t>
            </w:r>
            <w:r>
              <w:rPr>
                <w:rFonts w:ascii="宋体" w:hAnsi="宋体" w:cs="宋体"/>
                <w:color w:val="000000"/>
                <w:kern w:val="0"/>
                <w:sz w:val="22"/>
                <w:szCs w:val="22"/>
              </w:rPr>
              <w:t>％</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财务部、销售部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渠道关系维护主管以上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渠道呆账发生率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呆账率</w:t>
            </w:r>
            <w:r>
              <w:rPr>
                <w:rFonts w:cs="宋体" w:ascii="宋体" w:hAnsi="宋体"/>
                <w:color w:val="000000"/>
                <w:kern w:val="0"/>
                <w:sz w:val="22"/>
                <w:szCs w:val="22"/>
              </w:rPr>
              <w:t>=</w:t>
            </w:r>
            <w:r>
              <w:rPr>
                <w:rFonts w:ascii="宋体" w:hAnsi="宋体" w:cs="宋体"/>
                <w:color w:val="000000"/>
                <w:kern w:val="0"/>
                <w:sz w:val="22"/>
                <w:szCs w:val="22"/>
              </w:rPr>
              <w:t>期末呆账额</w:t>
            </w:r>
            <w:r>
              <w:rPr>
                <w:rFonts w:cs="宋体" w:ascii="宋体" w:hAnsi="宋体"/>
                <w:color w:val="000000"/>
                <w:kern w:val="0"/>
                <w:sz w:val="22"/>
                <w:szCs w:val="22"/>
              </w:rPr>
              <w:t>÷</w:t>
            </w:r>
            <w:r>
              <w:rPr>
                <w:rFonts w:ascii="宋体" w:hAnsi="宋体" w:cs="宋体"/>
                <w:color w:val="000000"/>
                <w:kern w:val="0"/>
                <w:sz w:val="22"/>
                <w:szCs w:val="22"/>
              </w:rPr>
              <w:t>当期销售额</w:t>
            </w:r>
            <w:r>
              <w:rPr>
                <w:rFonts w:cs="宋体" w:ascii="宋体" w:hAnsi="宋体"/>
                <w:color w:val="000000"/>
                <w:kern w:val="0"/>
                <w:sz w:val="22"/>
                <w:szCs w:val="22"/>
              </w:rPr>
              <w:t>×100</w:t>
            </w:r>
            <w:r>
              <w:rPr>
                <w:rFonts w:ascii="宋体" w:hAnsi="宋体" w:cs="宋体"/>
                <w:color w:val="000000"/>
                <w:kern w:val="0"/>
                <w:sz w:val="22"/>
                <w:szCs w:val="22"/>
              </w:rPr>
              <w:t>％（呆账：超过合同规定的应收期</w:t>
            </w:r>
            <w:r>
              <w:rPr>
                <w:rFonts w:cs="宋体" w:ascii="宋体" w:hAnsi="宋体"/>
                <w:color w:val="000000"/>
                <w:kern w:val="0"/>
                <w:sz w:val="22"/>
                <w:szCs w:val="22"/>
              </w:rPr>
              <w:t>90</w:t>
            </w:r>
            <w:r>
              <w:rPr>
                <w:rFonts w:ascii="宋体" w:hAnsi="宋体" w:cs="宋体"/>
                <w:color w:val="000000"/>
                <w:kern w:val="0"/>
                <w:sz w:val="22"/>
                <w:szCs w:val="22"/>
              </w:rPr>
              <w:t>天</w:t>
            </w:r>
            <w:r>
              <w:rPr>
                <w:rFonts w:cs="宋体" w:ascii="宋体" w:hAnsi="宋体"/>
                <w:color w:val="000000"/>
                <w:kern w:val="0"/>
                <w:sz w:val="22"/>
                <w:szCs w:val="22"/>
              </w:rPr>
              <w:t>(</w:t>
            </w:r>
            <w:r>
              <w:rPr>
                <w:rFonts w:ascii="宋体" w:hAnsi="宋体" w:cs="宋体"/>
                <w:color w:val="000000"/>
                <w:kern w:val="0"/>
                <w:sz w:val="22"/>
                <w:szCs w:val="22"/>
              </w:rPr>
              <w:t>可以根据不同渠道商重新拟定</w:t>
            </w:r>
            <w:r>
              <w:rPr>
                <w:rFonts w:cs="宋体" w:ascii="宋体" w:hAnsi="宋体"/>
                <w:color w:val="000000"/>
                <w:kern w:val="0"/>
                <w:sz w:val="22"/>
                <w:szCs w:val="22"/>
              </w:rPr>
              <w:t>)</w:t>
            </w:r>
            <w:r>
              <w:rPr>
                <w:rFonts w:ascii="宋体" w:hAnsi="宋体" w:cs="宋体"/>
                <w:color w:val="000000"/>
                <w:kern w:val="0"/>
                <w:sz w:val="22"/>
                <w:szCs w:val="22"/>
              </w:rPr>
              <w:t>）</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财务部、销售部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渠道关系维护主管以上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渠道商增加完成率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渠道商增加完成率</w:t>
            </w:r>
            <w:r>
              <w:rPr>
                <w:rFonts w:cs="宋体" w:ascii="宋体" w:hAnsi="宋体"/>
                <w:color w:val="000000"/>
                <w:kern w:val="0"/>
                <w:sz w:val="22"/>
                <w:szCs w:val="22"/>
              </w:rPr>
              <w:t>=</w:t>
            </w:r>
            <w:r>
              <w:rPr>
                <w:rFonts w:ascii="宋体" w:hAnsi="宋体" w:cs="宋体"/>
                <w:color w:val="000000"/>
                <w:kern w:val="0"/>
                <w:sz w:val="22"/>
                <w:szCs w:val="22"/>
              </w:rPr>
              <w:t>新增渠道商</w:t>
            </w:r>
            <w:r>
              <w:rPr>
                <w:rFonts w:cs="宋体" w:ascii="宋体" w:hAnsi="宋体"/>
                <w:color w:val="000000"/>
                <w:kern w:val="0"/>
                <w:sz w:val="22"/>
                <w:szCs w:val="22"/>
              </w:rPr>
              <w:t>÷</w:t>
            </w:r>
            <w:r>
              <w:rPr>
                <w:rFonts w:ascii="宋体" w:hAnsi="宋体" w:cs="宋体"/>
                <w:color w:val="000000"/>
                <w:kern w:val="0"/>
                <w:sz w:val="22"/>
                <w:szCs w:val="22"/>
              </w:rPr>
              <w:t>计划开发渠道商总量</w:t>
            </w:r>
            <w:r>
              <w:rPr>
                <w:rFonts w:cs="宋体" w:ascii="宋体" w:hAnsi="宋体"/>
                <w:color w:val="000000"/>
                <w:kern w:val="0"/>
                <w:sz w:val="22"/>
                <w:szCs w:val="22"/>
              </w:rPr>
              <w:t>×100</w:t>
            </w:r>
            <w:r>
              <w:rPr>
                <w:rFonts w:ascii="宋体" w:hAnsi="宋体" w:cs="宋体"/>
                <w:color w:val="000000"/>
                <w:kern w:val="0"/>
                <w:sz w:val="22"/>
                <w:szCs w:val="22"/>
              </w:rPr>
              <w:t>％</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要求渠道商符合公司要求，例如渠道商的信用等级、销售能力、区域分布等等。</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渠道关系维护人员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渠道关系维护策略及实施</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渠道关系维护策略制定</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按照渠道的实力、信用度等维度就渠道进行分类、分级管理，并制定相应的关系维护策略。</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渠道关系维护主管以上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0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渠道关系维护策略实施</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制定了合理的渠道关系维护策略，并进行有效的实施，例如渠道商会议、渠道促销等等。</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渠道关系维护主管以上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0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渠道服务网点数量</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渠道服务网点数量及其有效覆盖率。（有效覆盖率是指按照区域合理分布）</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渠道关系维护主管以上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渠道商数据与信息管理</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要求对渠道商相关数据与资料填写完整、准确、清晰，且整理、保管及时、规范，保存完好，差错率不超过</w:t>
            </w:r>
            <w:r>
              <w:rPr>
                <w:rFonts w:cs="宋体" w:ascii="宋体" w:hAnsi="宋体"/>
                <w:color w:val="000000"/>
                <w:kern w:val="0"/>
                <w:sz w:val="22"/>
                <w:szCs w:val="22"/>
              </w:rPr>
              <w:t>1%</w:t>
            </w:r>
            <w:r>
              <w:rPr>
                <w:rFonts w:ascii="宋体" w:hAnsi="宋体" w:cs="宋体"/>
                <w:color w:val="000000"/>
                <w:kern w:val="0"/>
                <w:sz w:val="22"/>
                <w:szCs w:val="22"/>
              </w:rPr>
              <w:t>；要求进行分类、分级管理。</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渠道关系维护人员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渠道沟通</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定期与各大渠道商分类别、分不同方式进行回访、沟通，或者举办各类沟通交流活动、会议。</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渠道关系维护人员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渠道商问题处理</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主要指针对渠道商咨询、投诉的问题，进行及时有效的答复或者合理的处理，并获得渠道商的满意。</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渠道关系维护人员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渠道支持</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主要指按照渠道关系维护策略，为渠道商提供宣传推广、促销活动等支持。（主要通过内部评价以及客户评价结果相结合进行考核评价）</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具体应根据企业实际需求进行拟定。</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渠道关系维护人员</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渠道开发与维护成本费用控制</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主要指渠道开发与维护所需的差旅、业务招待、通讯、活动策划与实施等成本费用的控制。</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渠道关系维护主管以上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286"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日常工作管理</w:t>
            </w:r>
          </w:p>
        </w:tc>
        <w:tc>
          <w:tcPr>
            <w:tcW w:w="1134"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计划与落实</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工作总结与计划</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每周、每月、每个季度、每年定期按照要求准时提交工作总结与计划，并进行汇报。</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要求阶段性管理规划或者工作计划做到合理性及其可行性，且得到领导认可。</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客服部门、领导评价</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工作计划完成情况</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按照个人工作计划及公司要求，</w:t>
            </w:r>
            <w:r>
              <w:rPr>
                <w:rFonts w:cs="宋体" w:ascii="宋体" w:hAnsi="宋体"/>
                <w:color w:val="000000"/>
                <w:kern w:val="0"/>
                <w:sz w:val="22"/>
                <w:szCs w:val="22"/>
              </w:rPr>
              <w:t>100%</w:t>
            </w:r>
            <w:r>
              <w:rPr>
                <w:rFonts w:ascii="宋体" w:hAnsi="宋体" w:cs="宋体"/>
                <w:color w:val="000000"/>
                <w:kern w:val="0"/>
                <w:sz w:val="22"/>
                <w:szCs w:val="22"/>
              </w:rPr>
              <w:t>高质量完成工作任务。</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客服部门、领导评价</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7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制度建立与执行</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制度与流程建设</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制度的完善性与有效性，流程的简化程度以及高效性。具体包括渠道商管理制度、售后服务管理制度、客户关系管理制度、客户数据管理办法，等等。</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客服部门、领导评价</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客户关系管理制度的执行</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严格按照客户关系管理制度与流程执行工作。</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客服部门、领导评价</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6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营销数据与资料管理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完整性与规范性</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要求对营销相关数据与资料填写完整、准确、清晰，且整理、保管及时、规范，保存完好，差错率不超过</w:t>
            </w:r>
            <w:r>
              <w:rPr>
                <w:rFonts w:cs="宋体" w:ascii="宋体" w:hAnsi="宋体"/>
                <w:color w:val="000000"/>
                <w:kern w:val="0"/>
                <w:sz w:val="22"/>
                <w:szCs w:val="22"/>
              </w:rPr>
              <w:t>1%</w:t>
            </w:r>
            <w:r>
              <w:rPr>
                <w:rFonts w:ascii="宋体" w:hAnsi="宋体" w:cs="宋体"/>
                <w:color w:val="000000"/>
                <w:kern w:val="0"/>
                <w:sz w:val="22"/>
                <w:szCs w:val="22"/>
              </w:rPr>
              <w:t>。</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包括订单信息、销售账目、销售数据分析报告、市场调研与分析报告、促销记录、竞争对手分析、营销合同、营销统计与分析，等等。</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客服部门、领导评价</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更新及时性</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对各类营销数据与资料进行及时更新。</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客服部门、领导评价</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服务态度与能力</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服务态度</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主要指客户服务人员的服务态度。（具体可通过观察、同事评价、客户反馈信息获得。）</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客服部门、领导评价、客户反馈</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8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服务专业水平</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主要指客户服务人员的专业水平及服务能力。（具体可通过观察、同事评价、客户反馈信息获得。）</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客服部门、领导评价、客户反馈</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合同管理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合同跟进</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按时进行合同履约跟进工作，及时反馈合同中出现的问题，并协调解决问题。</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客服部门、领导评价</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结算与对账</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定期完成与客户方的结算与对账工作。若出现一次不及时，扣</w:t>
            </w:r>
            <w:r>
              <w:rPr>
                <w:rFonts w:cs="宋体" w:ascii="宋体" w:hAnsi="宋体"/>
                <w:color w:val="000000"/>
                <w:kern w:val="0"/>
                <w:sz w:val="22"/>
                <w:szCs w:val="22"/>
              </w:rPr>
              <w:t>1</w:t>
            </w:r>
            <w:r>
              <w:rPr>
                <w:rFonts w:ascii="宋体" w:hAnsi="宋体" w:cs="宋体"/>
                <w:color w:val="000000"/>
                <w:kern w:val="0"/>
                <w:sz w:val="22"/>
                <w:szCs w:val="22"/>
              </w:rPr>
              <w:t>分；若对账出现错误，一次扣</w:t>
            </w:r>
            <w:r>
              <w:rPr>
                <w:rFonts w:cs="宋体" w:ascii="宋体" w:hAnsi="宋体"/>
                <w:color w:val="000000"/>
                <w:kern w:val="0"/>
                <w:sz w:val="22"/>
                <w:szCs w:val="22"/>
              </w:rPr>
              <w:t>1</w:t>
            </w:r>
            <w:r>
              <w:rPr>
                <w:rFonts w:ascii="宋体" w:hAnsi="宋体" w:cs="宋体"/>
                <w:color w:val="000000"/>
                <w:kern w:val="0"/>
                <w:sz w:val="22"/>
                <w:szCs w:val="22"/>
              </w:rPr>
              <w:t>分。</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客服部门、财务部门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回款及时率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合同回款及时率</w:t>
            </w:r>
            <w:r>
              <w:rPr>
                <w:rFonts w:cs="宋体" w:ascii="宋体" w:hAnsi="宋体"/>
                <w:color w:val="000000"/>
                <w:kern w:val="0"/>
                <w:sz w:val="22"/>
                <w:szCs w:val="22"/>
              </w:rPr>
              <w:t>=</w:t>
            </w:r>
            <w:r>
              <w:rPr>
                <w:rFonts w:ascii="宋体" w:hAnsi="宋体" w:cs="宋体"/>
                <w:color w:val="000000"/>
                <w:kern w:val="0"/>
                <w:sz w:val="22"/>
                <w:szCs w:val="22"/>
              </w:rPr>
              <w:t>及时回款额</w:t>
            </w:r>
            <w:r>
              <w:rPr>
                <w:rFonts w:cs="宋体" w:ascii="宋体" w:hAnsi="宋体"/>
                <w:color w:val="000000"/>
                <w:kern w:val="0"/>
                <w:sz w:val="22"/>
                <w:szCs w:val="22"/>
              </w:rPr>
              <w:t>÷</w:t>
            </w:r>
            <w:r>
              <w:rPr>
                <w:rFonts w:ascii="宋体" w:hAnsi="宋体" w:cs="宋体"/>
                <w:color w:val="000000"/>
                <w:kern w:val="0"/>
                <w:sz w:val="22"/>
                <w:szCs w:val="22"/>
              </w:rPr>
              <w:t>应收合同额</w:t>
            </w:r>
            <w:r>
              <w:rPr>
                <w:rFonts w:cs="宋体" w:ascii="宋体" w:hAnsi="宋体"/>
                <w:color w:val="000000"/>
                <w:kern w:val="0"/>
                <w:sz w:val="22"/>
                <w:szCs w:val="22"/>
              </w:rPr>
              <w:t>×100</w:t>
            </w:r>
            <w:r>
              <w:rPr>
                <w:rFonts w:ascii="宋体" w:hAnsi="宋体" w:cs="宋体"/>
                <w:color w:val="000000"/>
                <w:kern w:val="0"/>
                <w:sz w:val="22"/>
                <w:szCs w:val="22"/>
              </w:rPr>
              <w:t>％</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财务部门、客服部门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59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团队管理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员工满意度达到</w:t>
            </w:r>
            <w:r>
              <w:rPr>
                <w:rFonts w:ascii="宋体" w:hAnsi="宋体" w:cs="宋体"/>
                <w:color w:val="000000"/>
                <w:kern w:val="0"/>
                <w:sz w:val="22"/>
                <w:szCs w:val="22"/>
                <w:u w:val="single"/>
              </w:rPr>
              <w:t xml:space="preserve">         。</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团队管理主要指培育、指导、考核部门员工；员工满意度是指团队成员对该公司或者部门的工作氛围、工作环境、领导风格、领导支持（学习发展、生活关爱、成长辅导支持）等方面的满意程度。</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客服部、人力资源部、员工满意度</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部门绩效考核</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绩效考核数据的准确率、完成的及时率。</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客服部、人力资源部、员工满意度</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组织或部门的凝聚力</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组织表现为较强的凝聚力，员工协同能力强。</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客服部、人力资源部、员工满意度</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组织执行力</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执行力强，计划、制度得到严格、高效执行。</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客服部、人力资源部、员工满意度</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员工能力提升及个人职业生涯规划发展</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员工能力得到大幅度提升，或者员工对个人职业生涯规划发展满意。</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客服部、人力资源部、员工满意度</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1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客户服务成本费用控制率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实际客户服务成本费用</w:t>
            </w:r>
            <w:r>
              <w:rPr>
                <w:rFonts w:cs="宋体" w:ascii="宋体" w:hAnsi="宋体"/>
                <w:color w:val="000000"/>
                <w:kern w:val="0"/>
                <w:sz w:val="22"/>
                <w:szCs w:val="22"/>
              </w:rPr>
              <w:t>÷</w:t>
            </w:r>
            <w:r>
              <w:rPr>
                <w:rFonts w:ascii="宋体" w:hAnsi="宋体" w:cs="宋体"/>
                <w:color w:val="000000"/>
                <w:kern w:val="0"/>
                <w:sz w:val="22"/>
                <w:szCs w:val="22"/>
              </w:rPr>
              <w:t>计划客户服务成本费用</w:t>
            </w:r>
            <w:r>
              <w:rPr>
                <w:rFonts w:cs="宋体" w:ascii="宋体" w:hAnsi="宋体"/>
                <w:color w:val="000000"/>
                <w:kern w:val="0"/>
                <w:sz w:val="22"/>
                <w:szCs w:val="22"/>
              </w:rPr>
              <w:t>×100</w:t>
            </w:r>
            <w:r>
              <w:rPr>
                <w:rFonts w:ascii="宋体" w:hAnsi="宋体" w:cs="宋体"/>
                <w:color w:val="000000"/>
                <w:kern w:val="0"/>
                <w:sz w:val="22"/>
                <w:szCs w:val="22"/>
              </w:rPr>
              <w:t>％。</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各岗位应根据岗位要求及具体工作任务，明确具体的成本控制范围。例如客户关系维护成本费用、渠道维护成本费用、售后服务成本费用、公关活动成本费用，等等。</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部门费用控制率</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部门费用控制率</w:t>
            </w:r>
            <w:r>
              <w:rPr>
                <w:rFonts w:cs="宋体" w:ascii="宋体" w:hAnsi="宋体"/>
                <w:color w:val="000000"/>
                <w:kern w:val="0"/>
                <w:sz w:val="22"/>
                <w:szCs w:val="22"/>
              </w:rPr>
              <w:t>=</w:t>
            </w:r>
            <w:r>
              <w:rPr>
                <w:rFonts w:ascii="宋体" w:hAnsi="宋体" w:cs="宋体"/>
                <w:color w:val="000000"/>
                <w:kern w:val="0"/>
                <w:sz w:val="22"/>
                <w:szCs w:val="22"/>
              </w:rPr>
              <w:t>实际费用</w:t>
            </w:r>
            <w:r>
              <w:rPr>
                <w:rFonts w:cs="宋体" w:ascii="宋体" w:hAnsi="宋体"/>
                <w:color w:val="000000"/>
                <w:kern w:val="0"/>
                <w:sz w:val="22"/>
                <w:szCs w:val="22"/>
              </w:rPr>
              <w:t>÷</w:t>
            </w:r>
            <w:r>
              <w:rPr>
                <w:rFonts w:ascii="宋体" w:hAnsi="宋体" w:cs="宋体"/>
                <w:color w:val="000000"/>
                <w:kern w:val="0"/>
                <w:sz w:val="22"/>
                <w:szCs w:val="22"/>
              </w:rPr>
              <w:t>预算费用</w:t>
            </w:r>
            <w:r>
              <w:rPr>
                <w:rFonts w:cs="宋体" w:ascii="宋体" w:hAnsi="宋体"/>
                <w:color w:val="000000"/>
                <w:kern w:val="0"/>
                <w:sz w:val="22"/>
                <w:szCs w:val="22"/>
              </w:rPr>
              <w:t>×100</w:t>
            </w:r>
            <w:r>
              <w:rPr>
                <w:rFonts w:ascii="宋体" w:hAnsi="宋体" w:cs="宋体"/>
                <w:color w:val="000000"/>
                <w:kern w:val="0"/>
                <w:sz w:val="22"/>
                <w:szCs w:val="22"/>
              </w:rPr>
              <w:t>％。</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部门费用主要包括人员费用、差旅费、办公费、维修费等。</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客服主管以上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2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其它日常工作</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关系协调</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与其它部门、渠道商、供应商、业务合作伙伴等保持良好关系。</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主要表现为内部部门之间关系和谐、协同性强；与外部机构保持良好的沟通机制。企业内外部客户没有投诉现象。</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客服部、其它部门反馈、合作机构</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286"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公司统一开展的活动或要求的事项是否按时完成。</w:t>
            </w:r>
          </w:p>
        </w:tc>
        <w:tc>
          <w:tcPr>
            <w:tcW w:w="33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286" w:type="dxa"/>
            <w:vMerge w:val="restart"/>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知识、技能与品质</w:t>
            </w:r>
          </w:p>
        </w:tc>
        <w:tc>
          <w:tcPr>
            <w:tcW w:w="1134"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领导力</w:t>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成就特征</w:t>
            </w:r>
          </w:p>
        </w:tc>
        <w:tc>
          <w:tcPr>
            <w:tcW w:w="3762"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成就导向、积极主动性。</w:t>
            </w:r>
          </w:p>
        </w:tc>
        <w:tc>
          <w:tcPr>
            <w:tcW w:w="337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客服部、人力资源部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客服部经理以上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28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服务与助人特征</w:t>
            </w:r>
          </w:p>
        </w:tc>
        <w:tc>
          <w:tcPr>
            <w:tcW w:w="3762"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顾客服务能力。</w:t>
            </w:r>
          </w:p>
        </w:tc>
        <w:tc>
          <w:tcPr>
            <w:tcW w:w="337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客服部、人力资源部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客服部经理以上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28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影响特征</w:t>
            </w:r>
          </w:p>
        </w:tc>
        <w:tc>
          <w:tcPr>
            <w:tcW w:w="3762"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影响力、关系建立能力。</w:t>
            </w:r>
          </w:p>
        </w:tc>
        <w:tc>
          <w:tcPr>
            <w:tcW w:w="337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客服部、人力资源部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客服部经理以上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28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管理特征</w:t>
            </w:r>
          </w:p>
        </w:tc>
        <w:tc>
          <w:tcPr>
            <w:tcW w:w="3762"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决策力、组织领导能力、培训他人能力、团队协作能力、建立信任与尊重。</w:t>
            </w:r>
          </w:p>
        </w:tc>
        <w:tc>
          <w:tcPr>
            <w:tcW w:w="337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客服部、人力资源部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客服部经理以上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28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认知特征</w:t>
            </w:r>
          </w:p>
        </w:tc>
        <w:tc>
          <w:tcPr>
            <w:tcW w:w="3762"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专业知识、经验与技能、分析思考能力、创新与变革能力。</w:t>
            </w:r>
          </w:p>
        </w:tc>
        <w:tc>
          <w:tcPr>
            <w:tcW w:w="337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客服部、人力资源部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客服部经理以上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28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个人特征</w:t>
            </w:r>
          </w:p>
        </w:tc>
        <w:tc>
          <w:tcPr>
            <w:tcW w:w="3762" w:type="dxa"/>
            <w:tcBorders>
              <w:bottom w:val="single" w:sz="4"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诚实正直、自信心、专业学习能力、适应能力、预测与应对能力、组织认同。</w:t>
            </w:r>
          </w:p>
        </w:tc>
        <w:tc>
          <w:tcPr>
            <w:tcW w:w="337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56"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客服部、人力资源部</w:t>
            </w:r>
          </w:p>
        </w:tc>
        <w:tc>
          <w:tcPr>
            <w:tcW w:w="11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客服部经理以上</w:t>
            </w:r>
          </w:p>
        </w:tc>
        <w:tc>
          <w:tcPr>
            <w:tcW w:w="965"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485" w:hRule="atLeast"/>
        </w:trPr>
        <w:tc>
          <w:tcPr>
            <w:tcW w:w="128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restart"/>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一般要求的知识、技能与品质</w:t>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知识与技能</w:t>
            </w:r>
          </w:p>
        </w:tc>
        <w:tc>
          <w:tcPr>
            <w:tcW w:w="3762"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岗位要求所必须的知识（基础知识、业务知识、关联知识）及技能水平（包括分析判断能力、沟通能力、问题解决能力、团队合作精神以及协调性）。</w:t>
            </w:r>
          </w:p>
        </w:tc>
        <w:tc>
          <w:tcPr>
            <w:tcW w:w="3379"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客服部、人力资源部</w:t>
            </w:r>
          </w:p>
        </w:tc>
        <w:tc>
          <w:tcPr>
            <w:tcW w:w="1140" w:type="dxa"/>
            <w:tcBorders>
              <w:bottom w:val="single" w:sz="4" w:space="0" w:color="000000"/>
            </w:tcBorders>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start w:val="single" w:sz="4" w:space="0" w:color="000000"/>
              <w:bottom w:val="single" w:sz="4" w:space="0" w:color="000000"/>
              <w:end w:val="single" w:sz="8" w:space="0" w:color="000000"/>
            </w:tcBorders>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r>
        <w:trPr>
          <w:trHeight w:val="1245" w:hRule="atLeast"/>
        </w:trPr>
        <w:tc>
          <w:tcPr>
            <w:tcW w:w="1286"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134" w:type="dxa"/>
            <w:vMerge w:val="continue"/>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8"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愿望与态度</w:t>
            </w:r>
          </w:p>
        </w:tc>
        <w:tc>
          <w:tcPr>
            <w:tcW w:w="3762"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主要指公司要求的通用类素质（公司可根据自我需求进行调整），例如创新与改善能力、诚信正直、责任感、纪律性、工作热情、服务态度等等。</w:t>
            </w:r>
          </w:p>
        </w:tc>
        <w:tc>
          <w:tcPr>
            <w:tcW w:w="3379"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156"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9"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992"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客服部、人力资源部</w:t>
            </w:r>
          </w:p>
        </w:tc>
        <w:tc>
          <w:tcPr>
            <w:tcW w:w="1140" w:type="dxa"/>
            <w:tcBorders>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5" w:type="dxa"/>
            <w:tcBorders>
              <w:start w:val="single" w:sz="4" w:space="0" w:color="000000"/>
              <w:bottom w:val="single" w:sz="8" w:space="0" w:color="000000"/>
              <w:end w:val="single" w:sz="8"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bl>
    <w:p>
      <w:pPr>
        <w:pStyle w:val="Normal"/>
        <w:bidi w:val="0"/>
        <w:spacing w:lineRule="exact" w:line="360"/>
        <w:ind w:start="-424" w:end="-567" w:firstLine="468"/>
        <w:jc w:val="start"/>
        <w:rPr>
          <w:rFonts w:ascii="楷体_GB2312" w:hAnsi="楷体_GB2312" w:eastAsia="楷体_GB2312"/>
          <w:sz w:val="24"/>
        </w:rPr>
      </w:pPr>
      <w:r>
        <w:rPr/>
      </w:r>
    </w:p>
    <w:sectPr>
      <w:headerReference w:type="default" r:id="rId7"/>
      <w:footerReference w:type="default" r:id="rId8"/>
      <w:type w:val="nextPage"/>
      <w:pgSz w:orient="landscape" w:w="16838" w:h="11906"/>
      <w:pgMar w:left="1021" w:right="1440" w:header="567" w:top="1701" w:footer="992" w:bottom="1701"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宋体">
    <w:charset w:val="01" w:characterSet="utf-8"/>
    <w:family w:val="roman"/>
    <w:pitch w:val="variable"/>
  </w:font>
  <w:font w:name="黑体">
    <w:charset w:val="01" w:characterSet="utf-8"/>
    <w:family w:val="roman"/>
    <w:pitch w:val="variable"/>
  </w:font>
  <w:font w:name="微软雅黑">
    <w:charset w:val="01" w:characterSet="utf-8"/>
    <w:family w:val="roman"/>
    <w:pitch w:val="variable"/>
  </w:font>
  <w:font w:name="楷体_GB231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hineseCountingThousand"/>
      <w:suff w:val="nothing"/>
      <w:lvlText w:val="第%1章  "/>
      <w:lvlJc w:val="start"/>
      <w:pPr>
        <w:tabs>
          <w:tab w:val="num" w:pos="0"/>
        </w:tabs>
        <w:ind w:start="0" w:hanging="0"/>
      </w:pPr>
      <w:rPr>
        <w:sz w:val="48"/>
        <w:i w:val="false"/>
        <w:b/>
        <w:rFonts w:ascii="楷体_GB2312" w:hAnsi="楷体_GB2312" w:eastAsia="楷体_GB2312"/>
      </w:rPr>
    </w:lvl>
    <w:lvl w:ilvl="1">
      <w:start w:val="1"/>
      <w:pStyle w:val="Heading2"/>
      <w:numFmt w:val="chineseCountingThousand"/>
      <w:suff w:val="nothing"/>
      <w:lvlText w:val="第%2节  "/>
      <w:lvlJc w:val="start"/>
      <w:pPr>
        <w:tabs>
          <w:tab w:val="num" w:pos="0"/>
        </w:tabs>
        <w:ind w:start="0" w:hanging="0"/>
      </w:pPr>
      <w:rPr>
        <w:smallCaps w:val="false"/>
        <w:caps w:val="false"/>
        <w:outline w:val="false"/>
        <w:dstrike w:val="false"/>
        <w:strike w:val="false"/>
        <w:sz w:val="32"/>
        <w:i w:val="false"/>
        <w:shadow w:val="false"/>
        <w:b/>
        <w:kern w:val="0"/>
        <w:rFonts w:ascii="楷体_GB2312" w:hAnsi="楷体_GB2312" w:eastAsia="楷体_GB2312"/>
      </w:rPr>
    </w:lvl>
    <w:lvl w:ilvl="2">
      <w:start w:val="1"/>
      <w:pStyle w:val="Heading3"/>
      <w:numFmt w:val="chineseCountingThousand"/>
      <w:suff w:val="nothing"/>
      <w:lvlText w:val="%3、"/>
      <w:lvlJc w:val="start"/>
      <w:pPr>
        <w:tabs>
          <w:tab w:val="num" w:pos="0"/>
        </w:tabs>
        <w:ind w:start="624" w:hanging="624"/>
      </w:pPr>
      <w:rPr>
        <w:sz w:val="28"/>
        <w:i w:val="false"/>
        <w:b w:val="false"/>
        <w:rFonts w:ascii="楷体_GB2312" w:hAnsi="楷体_GB2312" w:eastAsia="楷体_GB2312"/>
      </w:rPr>
    </w:lvl>
    <w:lvl w:ilvl="3">
      <w:start w:val="1"/>
      <w:pStyle w:val="Heading4"/>
      <w:numFmt w:val="chineseCountingThousand"/>
      <w:suff w:val="nothing"/>
      <w:lvlText w:val="（%4）"/>
      <w:lvlJc w:val="center"/>
      <w:pPr>
        <w:tabs>
          <w:tab w:val="num" w:pos="0"/>
        </w:tabs>
        <w:ind w:start="964" w:hanging="397"/>
      </w:pPr>
      <w:rPr>
        <w:sz w:val="28"/>
        <w:i w:val="false"/>
        <w:b w:val="false"/>
        <w:rFonts w:ascii="黑体" w:hAnsi="黑体" w:eastAsia="黑体"/>
      </w:rPr>
    </w:lvl>
    <w:lvl w:ilvl="4">
      <w:start w:val="1"/>
      <w:pStyle w:val="Heading5"/>
      <w:numFmt w:val="decimal"/>
      <w:suff w:val="nothing"/>
      <w:lvlText w:val="%5、"/>
      <w:lvlJc w:val="start"/>
      <w:pPr>
        <w:tabs>
          <w:tab w:val="num" w:pos="0"/>
        </w:tabs>
        <w:ind w:start="907" w:hanging="453"/>
      </w:pPr>
      <w:rPr>
        <w:sz w:val="24"/>
        <w:i w:val="false"/>
        <w:b w:val="false"/>
        <w:rFonts w:ascii="宋体" w:hAnsi="宋体" w:eastAsia="宋体"/>
      </w:rPr>
    </w:lvl>
    <w:lvl w:ilvl="5">
      <w:start w:val="1"/>
      <w:pStyle w:val="Heading6"/>
      <w:numFmt w:val="decimal"/>
      <w:suff w:val="nothing"/>
      <w:lvlText w:val="（%6）"/>
      <w:lvlJc w:val="start"/>
      <w:pPr>
        <w:tabs>
          <w:tab w:val="num" w:pos="0"/>
        </w:tabs>
        <w:ind w:start="1474" w:hanging="623"/>
      </w:pPr>
      <w:rPr>
        <w:sz w:val="24"/>
        <w:i w:val="false"/>
        <w:b w:val="false"/>
        <w:rFonts w:ascii="宋体" w:hAnsi="宋体" w:eastAsia="宋体"/>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420"/>
  <w:autoHyphenation w:val="true"/>
  <w:compat>
    <w:doNotExpandShiftReturn/>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39" w:semiHidden="0" w:unhideWhenUsed="0"/>
    <w:lsdException w:name="toc 2" w:uiPriority="39"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qFormat="1"/>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qFormat="1"/>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unhideWhenUsed="0" w:qFormat="1"/>
    <w:lsdException w:name="FollowedHyperlink" w:uiPriority="99" w:semiHidden="0"/>
    <w:lsdException w:name="Strong" w:uiPriority="0" w:semiHidden="0" w:unhideWhenUsed="0" w:qFormat="1"/>
    <w:lsdException w:name="Emphasis" w:uiPriority="2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lsdException w:name="annotation subject" w:uiPriority="0" w:semiHidden="0" w:unhideWhenUsed="0"/>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unhideWhenUsed="0"/>
    <w:lsdException w:name="Table Grid" w:uiPriority="9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link w:val="100"/>
    <w:uiPriority w:val="0"/>
    <w:qFormat/>
    <w:pPr>
      <w:widowControl/>
      <w:numPr>
        <w:ilvl w:val="0"/>
        <w:numId w:val="1"/>
      </w:numPr>
      <w:snapToGrid w:val="false"/>
      <w:spacing w:lineRule="atLeast" w:line="280" w:before="120" w:after="240"/>
      <w:jc w:val="center"/>
      <w:outlineLvl w:val="0"/>
    </w:pPr>
    <w:rPr>
      <w:rFonts w:ascii="Arial" w:hAnsi="Arial" w:eastAsia="楷体_GB2312"/>
      <w:b/>
      <w:kern w:val="2"/>
      <w:sz w:val="44"/>
      <w:szCs w:val="20"/>
      <w:vertAlign w:val="superscript"/>
    </w:rPr>
  </w:style>
  <w:style w:type="paragraph" w:styleId="Heading2">
    <w:name w:val="Heading 2"/>
    <w:basedOn w:val="Normal"/>
    <w:next w:val="TextBody"/>
    <w:link w:val="101"/>
    <w:uiPriority w:val="0"/>
    <w:qFormat/>
    <w:pPr>
      <w:widowControl/>
      <w:numPr>
        <w:ilvl w:val="1"/>
        <w:numId w:val="1"/>
      </w:numPr>
      <w:snapToGrid w:val="false"/>
      <w:spacing w:lineRule="auto" w:line="420" w:before="240" w:after="240"/>
      <w:jc w:val="center"/>
      <w:outlineLvl w:val="1"/>
    </w:pPr>
    <w:rPr>
      <w:rFonts w:ascii="Arial" w:hAnsi="Arial" w:eastAsia="楷体_GB2312"/>
      <w:b/>
      <w:kern w:val="2"/>
      <w:sz w:val="32"/>
      <w:szCs w:val="20"/>
    </w:rPr>
  </w:style>
  <w:style w:type="paragraph" w:styleId="Heading3">
    <w:name w:val="Heading 3"/>
    <w:basedOn w:val="Normal"/>
    <w:next w:val="TextBody"/>
    <w:link w:val="102"/>
    <w:uiPriority w:val="0"/>
    <w:qFormat/>
    <w:pPr>
      <w:keepNext w:val="true"/>
      <w:widowControl/>
      <w:numPr>
        <w:ilvl w:val="2"/>
        <w:numId w:val="1"/>
      </w:numPr>
      <w:snapToGrid w:val="false"/>
      <w:spacing w:lineRule="atLeast" w:line="220" w:before="140" w:after="120"/>
      <w:outlineLvl w:val="2"/>
    </w:pPr>
    <w:rPr>
      <w:rFonts w:ascii="Arial" w:hAnsi="Arial" w:eastAsia="楷体_GB2312"/>
      <w:spacing w:val="-4"/>
      <w:kern w:val="2"/>
      <w:sz w:val="32"/>
      <w:szCs w:val="20"/>
    </w:rPr>
  </w:style>
  <w:style w:type="paragraph" w:styleId="Heading4">
    <w:name w:val="Heading 4"/>
    <w:basedOn w:val="Normal"/>
    <w:next w:val="TextBody"/>
    <w:link w:val="103"/>
    <w:uiPriority w:val="0"/>
    <w:qFormat/>
    <w:pPr>
      <w:widowControl/>
      <w:numPr>
        <w:ilvl w:val="3"/>
        <w:numId w:val="1"/>
      </w:numPr>
      <w:snapToGrid w:val="false"/>
      <w:spacing w:lineRule="atLeast" w:line="220" w:before="140" w:after="120"/>
      <w:outlineLvl w:val="3"/>
    </w:pPr>
    <w:rPr>
      <w:rFonts w:ascii="Arial" w:hAnsi="Arial" w:eastAsia="黑体"/>
      <w:b/>
      <w:spacing w:val="-4"/>
      <w:kern w:val="2"/>
      <w:sz w:val="28"/>
      <w:szCs w:val="20"/>
    </w:rPr>
  </w:style>
  <w:style w:type="paragraph" w:styleId="Heading5">
    <w:name w:val="Heading 5"/>
    <w:basedOn w:val="Normal"/>
    <w:next w:val="TextBody"/>
    <w:link w:val="104"/>
    <w:uiPriority w:val="0"/>
    <w:qFormat/>
    <w:pPr>
      <w:widowControl/>
      <w:numPr>
        <w:ilvl w:val="4"/>
        <w:numId w:val="1"/>
      </w:numPr>
      <w:snapToGrid w:val="false"/>
      <w:spacing w:lineRule="exact" w:line="440" w:before="120" w:after="120"/>
      <w:outlineLvl w:val="4"/>
    </w:pPr>
    <w:rPr>
      <w:b/>
      <w:spacing w:val="-4"/>
      <w:kern w:val="2"/>
      <w:sz w:val="24"/>
      <w:szCs w:val="20"/>
    </w:rPr>
  </w:style>
  <w:style w:type="paragraph" w:styleId="Heading6">
    <w:name w:val="Heading 6"/>
    <w:basedOn w:val="Normal"/>
    <w:next w:val="TextBody"/>
    <w:link w:val="105"/>
    <w:uiPriority w:val="0"/>
    <w:qFormat/>
    <w:pPr>
      <w:widowControl/>
      <w:numPr>
        <w:ilvl w:val="5"/>
        <w:numId w:val="1"/>
      </w:numPr>
      <w:snapToGrid w:val="false"/>
      <w:spacing w:lineRule="auto" w:line="360" w:before="120" w:after="120"/>
      <w:outlineLvl w:val="5"/>
    </w:pPr>
    <w:rPr>
      <w:spacing w:val="-4"/>
      <w:kern w:val="0"/>
      <w:sz w:val="24"/>
      <w:szCs w:val="20"/>
    </w:rPr>
  </w:style>
  <w:style w:type="character" w:styleId="DefaultParagraphFont" w:default="1">
    <w:name w:val="Default Paragraph Font"/>
    <w:uiPriority w:val="1"/>
    <w:semiHidden/>
    <w:unhideWhenUsed/>
    <w:qFormat/>
    <w:rPr/>
  </w:style>
  <w:style w:type="character" w:styleId="VisitedInternetLink">
    <w:name w:val="FollowedHyperlink"/>
    <w:basedOn w:val="DefaultParagraphFont"/>
    <w:uiPriority w:val="99"/>
    <w:unhideWhenUsed/>
    <w:rPr>
      <w:color w:val="800080"/>
      <w:u w:val="single"/>
    </w:rPr>
  </w:style>
  <w:style w:type="character" w:styleId="Emphasis">
    <w:name w:val="Emphasis"/>
    <w:basedOn w:val="DefaultParagraphFont"/>
    <w:uiPriority w:val="20"/>
    <w:qFormat/>
    <w:rPr>
      <w:color w:val="CC0000"/>
    </w:rPr>
  </w:style>
  <w:style w:type="character" w:styleId="InternetLink">
    <w:name w:val="Hyperlink"/>
    <w:basedOn w:val="DefaultParagraphFont"/>
    <w:uiPriority w:val="99"/>
    <w:qFormat/>
    <w:rPr>
      <w:color w:val="0000FF"/>
      <w:u w:val="single"/>
    </w:rPr>
  </w:style>
  <w:style w:type="character" w:styleId="FootnoteCharacters">
    <w:name w:val="Footnote Characters"/>
    <w:basedOn w:val="DefaultParagraphFont"/>
    <w:uiPriority w:val="0"/>
    <w:qFormat/>
    <w:rPr>
      <w:vertAlign w:val="superscript"/>
    </w:rPr>
  </w:style>
  <w:style w:type="character" w:styleId="FootnoteAnchor">
    <w:name w:val="Footnote Anchor"/>
    <w:rPr>
      <w:vertAlign w:val="superscript"/>
    </w:rPr>
  </w:style>
  <w:style w:type="character" w:styleId="Char" w:customStyle="1">
    <w:name w:val="正文文本 Char"/>
    <w:basedOn w:val="DefaultParagraphFont"/>
    <w:link w:val="3"/>
    <w:uiPriority w:val="0"/>
    <w:qFormat/>
    <w:rPr>
      <w:sz w:val="24"/>
    </w:rPr>
  </w:style>
  <w:style w:type="character" w:styleId="1Char" w:customStyle="1">
    <w:name w:val="标题 1 Char"/>
    <w:basedOn w:val="DefaultParagraphFont"/>
    <w:link w:val="2"/>
    <w:uiPriority w:val="0"/>
    <w:qFormat/>
    <w:rPr>
      <w:rFonts w:ascii="Arial" w:hAnsi="Arial" w:eastAsia="楷体_GB2312"/>
      <w:b/>
      <w:kern w:val="2"/>
      <w:sz w:val="44"/>
      <w:vertAlign w:val="superscript"/>
    </w:rPr>
  </w:style>
  <w:style w:type="character" w:styleId="2Char" w:customStyle="1">
    <w:name w:val="标题 2 Char"/>
    <w:basedOn w:val="DefaultParagraphFont"/>
    <w:link w:val="4"/>
    <w:uiPriority w:val="0"/>
    <w:qFormat/>
    <w:rPr>
      <w:rFonts w:ascii="Arial" w:hAnsi="Arial" w:eastAsia="楷体_GB2312"/>
      <w:b/>
      <w:kern w:val="2"/>
      <w:sz w:val="32"/>
    </w:rPr>
  </w:style>
  <w:style w:type="character" w:styleId="3Char" w:customStyle="1">
    <w:name w:val="标题 3 Char"/>
    <w:basedOn w:val="DefaultParagraphFont"/>
    <w:link w:val="5"/>
    <w:uiPriority w:val="0"/>
    <w:qFormat/>
    <w:rPr>
      <w:rFonts w:ascii="Arial" w:hAnsi="Arial" w:eastAsia="楷体_GB2312"/>
      <w:spacing w:val="-4"/>
      <w:kern w:val="2"/>
      <w:sz w:val="32"/>
    </w:rPr>
  </w:style>
  <w:style w:type="character" w:styleId="4Char" w:customStyle="1">
    <w:name w:val="标题 4 Char"/>
    <w:basedOn w:val="DefaultParagraphFont"/>
    <w:link w:val="6"/>
    <w:uiPriority w:val="0"/>
    <w:qFormat/>
    <w:rPr>
      <w:rFonts w:ascii="Arial" w:hAnsi="Arial" w:eastAsia="黑体"/>
      <w:b/>
      <w:spacing w:val="-4"/>
      <w:kern w:val="2"/>
      <w:sz w:val="28"/>
    </w:rPr>
  </w:style>
  <w:style w:type="character" w:styleId="5Char" w:customStyle="1">
    <w:name w:val="标题 5 Char"/>
    <w:basedOn w:val="DefaultParagraphFont"/>
    <w:link w:val="7"/>
    <w:uiPriority w:val="0"/>
    <w:qFormat/>
    <w:rPr>
      <w:b/>
      <w:spacing w:val="-4"/>
      <w:kern w:val="2"/>
      <w:sz w:val="24"/>
    </w:rPr>
  </w:style>
  <w:style w:type="character" w:styleId="6Char" w:customStyle="1">
    <w:name w:val="标题 6 Char"/>
    <w:basedOn w:val="DefaultParagraphFont"/>
    <w:link w:val="8"/>
    <w:uiPriority w:val="0"/>
    <w:qFormat/>
    <w:rPr>
      <w:spacing w:val="-4"/>
      <w:sz w:val="24"/>
    </w:rPr>
  </w:style>
  <w:style w:type="character" w:styleId="Char1" w:customStyle="1">
    <w:name w:val="脚注文本 Char"/>
    <w:basedOn w:val="DefaultParagraphFont"/>
    <w:link w:val="16"/>
    <w:uiPriority w:val="0"/>
    <w:qFormat/>
    <w:rPr>
      <w:kern w:val="2"/>
      <w:sz w:val="18"/>
      <w:szCs w:val="18"/>
    </w:rPr>
  </w:style>
  <w:style w:type="character" w:styleId="CharChar" w:customStyle="1">
    <w:name w:val="表头 Char Char"/>
    <w:basedOn w:val="DefaultParagraphFont"/>
    <w:link w:val="26"/>
    <w:uiPriority w:val="0"/>
    <w:qFormat/>
    <w:rPr>
      <w:rFonts w:ascii="Arial" w:hAnsi="Arial" w:eastAsia="黑体"/>
      <w:kern w:val="2"/>
      <w:sz w:val="28"/>
      <w:szCs w:val="28"/>
    </w:rPr>
  </w:style>
  <w:style w:type="character" w:styleId="2CharChar" w:customStyle="1">
    <w:name w:val="表文2 Char Char"/>
    <w:basedOn w:val="DefaultParagraphFont"/>
    <w:link w:val="27"/>
    <w:uiPriority w:val="0"/>
    <w:qFormat/>
    <w:rPr>
      <w:rFonts w:eastAsia="方正书宋_GBK"/>
      <w:kern w:val="2"/>
      <w:sz w:val="21"/>
      <w:szCs w:val="21"/>
    </w:rPr>
  </w:style>
  <w:style w:type="character" w:styleId="Char2" w:customStyle="1">
    <w:name w:val="正文文本缩进 Char"/>
    <w:basedOn w:val="DefaultParagraphFont"/>
    <w:link w:val="10"/>
    <w:uiPriority w:val="0"/>
    <w:qFormat/>
    <w:rPr>
      <w:kern w:val="2"/>
      <w:sz w:val="21"/>
      <w:szCs w:val="24"/>
    </w:rPr>
  </w:style>
  <w:style w:type="character" w:styleId="Char3" w:customStyle="1">
    <w:name w:val="标题 Char"/>
    <w:basedOn w:val="DefaultParagraphFont"/>
    <w:link w:val="18"/>
    <w:uiPriority w:val="0"/>
    <w:qFormat/>
    <w:rPr>
      <w:rFonts w:ascii="Cambria" w:hAnsi="Cambria" w:cs="Times New Roman"/>
      <w:b/>
      <w:bCs/>
      <w:kern w:val="2"/>
      <w:sz w:val="28"/>
      <w:szCs w:val="32"/>
    </w:rPr>
  </w:style>
  <w:style w:type="character" w:styleId="Char4" w:customStyle="1">
    <w:name w:val="副标题 Char"/>
    <w:basedOn w:val="DefaultParagraphFont"/>
    <w:link w:val="15"/>
    <w:uiPriority w:val="0"/>
    <w:qFormat/>
    <w:rPr>
      <w:rFonts w:ascii="Cambria" w:hAnsi="Cambria" w:cs="Times New Roman"/>
      <w:b/>
      <w:bCs/>
      <w:kern w:val="2"/>
      <w:sz w:val="24"/>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link w:val="99"/>
    <w:uiPriority w:val="0"/>
    <w:pPr>
      <w:widowControl/>
      <w:snapToGrid w:val="false"/>
      <w:spacing w:lineRule="auto" w:line="360" w:before="120" w:after="120"/>
      <w:ind w:firstLine="454"/>
    </w:pPr>
    <w:rPr>
      <w:kern w:val="0"/>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Indent">
    <w:name w:val="Normal Indent"/>
    <w:basedOn w:val="Normal"/>
    <w:uiPriority w:val="0"/>
    <w:qFormat/>
    <w:pPr>
      <w:ind w:firstLine="420"/>
    </w:pPr>
    <w:rPr/>
  </w:style>
  <w:style w:type="paragraph" w:styleId="TextBodyIndent">
    <w:name w:val="Body Text Indent"/>
    <w:basedOn w:val="Normal"/>
    <w:link w:val="109"/>
    <w:uiPriority w:val="0"/>
    <w:pPr>
      <w:spacing w:before="0" w:after="120"/>
      <w:ind w:start="420" w:hanging="0"/>
    </w:pPr>
    <w:rPr/>
  </w:style>
  <w:style w:type="paragraph" w:styleId="BalloonText">
    <w:name w:val="Balloon Text"/>
    <w:basedOn w:val="Normal"/>
    <w:uiPriority w:val="0"/>
    <w:semiHidden/>
    <w:qFormat/>
    <w:pPr/>
    <w:rPr>
      <w:sz w:val="18"/>
      <w:szCs w:val="18"/>
    </w:rPr>
  </w:style>
  <w:style w:type="paragraph" w:styleId="HeaderandFooter">
    <w:name w:val="Header and Footer"/>
    <w:basedOn w:val="Normal"/>
    <w:qFormat/>
    <w:pPr/>
    <w:rPr/>
  </w:style>
  <w:style w:type="paragraph" w:styleId="Footer">
    <w:name w:val="Footer"/>
    <w:basedOn w:val="Normal"/>
    <w:uiPriority w:val="0"/>
    <w:pPr>
      <w:tabs>
        <w:tab w:val="clear" w:pos="420"/>
        <w:tab w:val="center" w:pos="4153" w:leader="none"/>
        <w:tab w:val="right" w:pos="8306" w:leader="none"/>
      </w:tabs>
      <w:snapToGrid w:val="false"/>
      <w:jc w:val="start"/>
    </w:pPr>
    <w:rPr>
      <w:sz w:val="18"/>
      <w:szCs w:val="18"/>
    </w:rPr>
  </w:style>
  <w:style w:type="paragraph" w:styleId="Header">
    <w:name w:val="Header"/>
    <w:basedOn w:val="Normal"/>
    <w:uiPriority w:val="0"/>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uiPriority w:val="39"/>
    <w:pPr/>
    <w:rPr/>
  </w:style>
  <w:style w:type="paragraph" w:styleId="Subtitle">
    <w:name w:val="Subtitle"/>
    <w:basedOn w:val="Normal"/>
    <w:next w:val="Normal"/>
    <w:link w:val="111"/>
    <w:uiPriority w:val="0"/>
    <w:qFormat/>
    <w:pPr>
      <w:spacing w:lineRule="auto" w:line="312" w:before="240" w:after="60"/>
      <w:jc w:val="start"/>
      <w:outlineLvl w:val="1"/>
    </w:pPr>
    <w:rPr>
      <w:rFonts w:ascii="Cambria" w:hAnsi="Cambria"/>
      <w:b/>
      <w:bCs/>
      <w:kern w:val="2"/>
      <w:sz w:val="24"/>
      <w:szCs w:val="32"/>
    </w:rPr>
  </w:style>
  <w:style w:type="paragraph" w:styleId="Footnote">
    <w:name w:val="Footnote Text"/>
    <w:basedOn w:val="Normal"/>
    <w:link w:val="106"/>
    <w:uiPriority w:val="0"/>
    <w:pPr>
      <w:snapToGrid w:val="false"/>
      <w:jc w:val="start"/>
    </w:pPr>
    <w:rPr>
      <w:sz w:val="18"/>
      <w:szCs w:val="18"/>
    </w:rPr>
  </w:style>
  <w:style w:type="paragraph" w:styleId="Contents2">
    <w:name w:val="TOC 2"/>
    <w:basedOn w:val="Normal"/>
    <w:next w:val="Normal"/>
    <w:uiPriority w:val="39"/>
    <w:pPr>
      <w:ind w:start="420" w:hanging="0"/>
    </w:pPr>
    <w:rPr/>
  </w:style>
  <w:style w:type="paragraph" w:styleId="Title">
    <w:name w:val="Title"/>
    <w:basedOn w:val="Normal"/>
    <w:next w:val="Normal"/>
    <w:link w:val="110"/>
    <w:uiPriority w:val="0"/>
    <w:qFormat/>
    <w:pPr>
      <w:spacing w:before="240" w:after="60"/>
      <w:jc w:val="center"/>
      <w:outlineLvl w:val="0"/>
    </w:pPr>
    <w:rPr>
      <w:rFonts w:ascii="Cambria" w:hAnsi="Cambria"/>
      <w:b/>
      <w:bCs/>
      <w:sz w:val="28"/>
      <w:szCs w:val="32"/>
    </w:rPr>
  </w:style>
  <w:style w:type="paragraph" w:styleId="ParaCharCharCharCharCharCharChar" w:customStyle="1">
    <w:name w:val="默认段落字体 Para Char Char Char Char Char Char Char"/>
    <w:basedOn w:val="Normal"/>
    <w:uiPriority w:val="0"/>
    <w:qFormat/>
    <w:pPr>
      <w:tabs>
        <w:tab w:val="clear" w:pos="420"/>
        <w:tab w:val="left" w:pos="4665" w:leader="none"/>
        <w:tab w:val="left" w:pos="8970" w:leader="none"/>
      </w:tabs>
      <w:ind w:firstLine="400"/>
    </w:pPr>
    <w:rPr>
      <w:rFonts w:ascii="Tahoma" w:hAnsi="Tahoma"/>
      <w:sz w:val="24"/>
      <w:szCs w:val="20"/>
    </w:rPr>
  </w:style>
  <w:style w:type="paragraph" w:styleId="Style8" w:customStyle="1">
    <w:name w:val="表头"/>
    <w:basedOn w:val="Normal"/>
    <w:link w:val="107"/>
    <w:uiPriority w:val="0"/>
    <w:qFormat/>
    <w:pPr>
      <w:pageBreakBefore/>
      <w:spacing w:lineRule="atLeast" w:line="360" w:before="240" w:after="120"/>
      <w:jc w:val="center"/>
    </w:pPr>
    <w:rPr>
      <w:rFonts w:ascii="Arial" w:hAnsi="Arial" w:eastAsia="黑体"/>
      <w:sz w:val="28"/>
      <w:szCs w:val="28"/>
    </w:rPr>
  </w:style>
  <w:style w:type="paragraph" w:styleId="2" w:customStyle="1">
    <w:name w:val="表文2"/>
    <w:basedOn w:val="Normal"/>
    <w:link w:val="108"/>
    <w:uiPriority w:val="0"/>
    <w:qFormat/>
    <w:pPr>
      <w:spacing w:lineRule="atLeast" w:line="360"/>
      <w:ind w:start="100" w:end="100" w:hanging="0"/>
    </w:pPr>
    <w:rPr>
      <w:rFonts w:eastAsia="方正书宋_GBK"/>
      <w:szCs w:val="21"/>
    </w:rPr>
  </w:style>
  <w:style w:type="paragraph" w:styleId="Style9" w:customStyle="1">
    <w:name w:val="表文"/>
    <w:basedOn w:val="NormalIndent"/>
    <w:uiPriority w:val="0"/>
    <w:qFormat/>
    <w:pPr>
      <w:snapToGrid w:val="false"/>
      <w:spacing w:lineRule="atLeast" w:line="280"/>
      <w:ind w:hanging="0"/>
    </w:pPr>
    <w:rPr>
      <w:szCs w:val="20"/>
    </w:rPr>
  </w:style>
  <w:style w:type="paragraph" w:styleId="TOC1" w:customStyle="1">
    <w:name w:val="TOC 标题1"/>
    <w:basedOn w:val="Heading1"/>
    <w:next w:val="Normal"/>
    <w:uiPriority w:val="39"/>
    <w:semiHidden/>
    <w:unhideWhenUsed/>
    <w:qFormat/>
    <w:pPr>
      <w:keepNext w:val="true"/>
      <w:keepLines/>
      <w:numPr>
        <w:ilvl w:val="0"/>
        <w:numId w:val="0"/>
      </w:numPr>
      <w:snapToGrid w:val="true"/>
      <w:spacing w:lineRule="auto" w:line="276" w:before="480" w:after="0"/>
      <w:jc w:val="start"/>
    </w:pPr>
    <w:rPr>
      <w:rFonts w:ascii="Cambria" w:hAnsi="Cambria" w:eastAsia="宋体"/>
      <w:bCs/>
      <w:color w:val="365F91"/>
      <w:kern w:val="0"/>
      <w:sz w:val="28"/>
      <w:szCs w:val="28"/>
    </w:rPr>
  </w:style>
  <w:style w:type="paragraph" w:styleId="1" w:customStyle="1">
    <w:name w:val="列出段落1"/>
    <w:basedOn w:val="Normal"/>
    <w:uiPriority w:val="34"/>
    <w:qFormat/>
    <w:pPr>
      <w:ind w:firstLine="420"/>
    </w:pPr>
    <w:rPr/>
  </w:style>
  <w:style w:type="paragraph" w:styleId="Font1" w:customStyle="1">
    <w:name w:val="font1"/>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5" w:customStyle="1">
    <w:name w:val="font5"/>
    <w:basedOn w:val="Normal"/>
    <w:uiPriority w:val="0"/>
    <w:qFormat/>
    <w:pPr>
      <w:widowControl/>
      <w:spacing w:beforeAutospacing="1" w:afterAutospacing="1"/>
      <w:jc w:val="start"/>
    </w:pPr>
    <w:rPr>
      <w:rFonts w:ascii="宋体" w:hAnsi="宋体" w:cs="宋体"/>
      <w:kern w:val="0"/>
      <w:sz w:val="18"/>
      <w:szCs w:val="18"/>
    </w:rPr>
  </w:style>
  <w:style w:type="paragraph" w:styleId="Font6" w:customStyle="1">
    <w:name w:val="font6"/>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7" w:customStyle="1">
    <w:name w:val="font7"/>
    <w:basedOn w:val="Normal"/>
    <w:uiPriority w:val="0"/>
    <w:qFormat/>
    <w:pPr>
      <w:widowControl/>
      <w:spacing w:beforeAutospacing="1" w:afterAutospacing="1"/>
      <w:jc w:val="start"/>
    </w:pPr>
    <w:rPr>
      <w:rFonts w:ascii="宋体" w:hAnsi="宋体" w:cs="宋体"/>
      <w:kern w:val="0"/>
      <w:sz w:val="20"/>
      <w:szCs w:val="20"/>
    </w:rPr>
  </w:style>
  <w:style w:type="paragraph" w:styleId="Font8" w:customStyle="1">
    <w:name w:val="font8"/>
    <w:basedOn w:val="Normal"/>
    <w:uiPriority w:val="0"/>
    <w:qFormat/>
    <w:pPr>
      <w:widowControl/>
      <w:spacing w:beforeAutospacing="1" w:afterAutospacing="1"/>
      <w:jc w:val="start"/>
    </w:pPr>
    <w:rPr>
      <w:rFonts w:ascii="宋体" w:hAnsi="宋体" w:cs="宋体"/>
      <w:kern w:val="0"/>
      <w:sz w:val="18"/>
      <w:szCs w:val="18"/>
    </w:rPr>
  </w:style>
  <w:style w:type="paragraph" w:styleId="Font9" w:customStyle="1">
    <w:name w:val="font9"/>
    <w:basedOn w:val="Normal"/>
    <w:uiPriority w:val="0"/>
    <w:qFormat/>
    <w:pPr>
      <w:widowControl/>
      <w:spacing w:beforeAutospacing="1" w:afterAutospacing="1"/>
      <w:jc w:val="start"/>
    </w:pPr>
    <w:rPr>
      <w:rFonts w:ascii="Arial" w:hAnsi="Arial" w:cs="Arial"/>
      <w:kern w:val="0"/>
      <w:sz w:val="20"/>
      <w:szCs w:val="20"/>
    </w:rPr>
  </w:style>
  <w:style w:type="paragraph" w:styleId="Font10" w:customStyle="1">
    <w:name w:val="font10"/>
    <w:basedOn w:val="Normal"/>
    <w:uiPriority w:val="0"/>
    <w:qFormat/>
    <w:pPr>
      <w:widowControl/>
      <w:spacing w:beforeAutospacing="1" w:afterAutospacing="1"/>
      <w:jc w:val="start"/>
    </w:pPr>
    <w:rPr>
      <w:rFonts w:ascii="宋体" w:hAnsi="宋体" w:cs="宋体"/>
      <w:kern w:val="0"/>
      <w:sz w:val="22"/>
      <w:szCs w:val="22"/>
    </w:rPr>
  </w:style>
  <w:style w:type="paragraph" w:styleId="Font11" w:customStyle="1">
    <w:name w:val="font11"/>
    <w:basedOn w:val="Normal"/>
    <w:uiPriority w:val="0"/>
    <w:qFormat/>
    <w:pPr>
      <w:widowControl/>
      <w:spacing w:beforeAutospacing="1" w:afterAutospacing="1"/>
      <w:jc w:val="start"/>
    </w:pPr>
    <w:rPr>
      <w:kern w:val="0"/>
      <w:sz w:val="22"/>
      <w:szCs w:val="22"/>
    </w:rPr>
  </w:style>
  <w:style w:type="paragraph" w:styleId="Font12" w:customStyle="1">
    <w:name w:val="font12"/>
    <w:basedOn w:val="Normal"/>
    <w:uiPriority w:val="0"/>
    <w:qFormat/>
    <w:pPr>
      <w:widowControl/>
      <w:spacing w:beforeAutospacing="1" w:afterAutospacing="1"/>
      <w:jc w:val="start"/>
    </w:pPr>
    <w:rPr>
      <w:rFonts w:ascii="宋体" w:hAnsi="宋体" w:cs="宋体"/>
      <w:color w:val="000000"/>
      <w:kern w:val="0"/>
      <w:sz w:val="22"/>
      <w:szCs w:val="22"/>
      <w:u w:val="single"/>
    </w:rPr>
  </w:style>
  <w:style w:type="paragraph" w:styleId="Font13" w:customStyle="1">
    <w:name w:val="font13"/>
    <w:basedOn w:val="Normal"/>
    <w:uiPriority w:val="0"/>
    <w:qFormat/>
    <w:pPr>
      <w:widowControl/>
      <w:spacing w:beforeAutospacing="1" w:afterAutospacing="1"/>
      <w:jc w:val="start"/>
    </w:pPr>
    <w:rPr>
      <w:rFonts w:ascii="宋体" w:hAnsi="宋体" w:cs="宋体"/>
      <w:kern w:val="0"/>
      <w:sz w:val="18"/>
      <w:szCs w:val="18"/>
    </w:rPr>
  </w:style>
  <w:style w:type="paragraph" w:styleId="Xl63" w:customStyle="1">
    <w:name w:val="xl63"/>
    <w:basedOn w:val="Normal"/>
    <w:uiPriority w:val="0"/>
    <w:qFormat/>
    <w:pPr>
      <w:widowControl/>
      <w:spacing w:beforeAutospacing="1" w:afterAutospacing="1"/>
      <w:jc w:val="start"/>
    </w:pPr>
    <w:rPr>
      <w:rFonts w:ascii="宋体" w:hAnsi="宋体" w:cs="宋体"/>
      <w:kern w:val="0"/>
      <w:sz w:val="24"/>
    </w:rPr>
  </w:style>
  <w:style w:type="paragraph" w:styleId="Xl64" w:customStyle="1">
    <w:name w:val="xl64"/>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65" w:customStyle="1">
    <w:name w:val="xl6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4"/>
    </w:rPr>
  </w:style>
  <w:style w:type="paragraph" w:styleId="Xl66" w:customStyle="1">
    <w:name w:val="xl66"/>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pPr>
    <w:rPr>
      <w:rFonts w:ascii="宋体" w:hAnsi="宋体" w:cs="宋体"/>
      <w:kern w:val="0"/>
      <w:sz w:val="24"/>
    </w:rPr>
  </w:style>
  <w:style w:type="paragraph" w:styleId="Xl67" w:customStyle="1">
    <w:name w:val="xl6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68" w:customStyle="1">
    <w:name w:val="xl68"/>
    <w:basedOn w:val="Normal"/>
    <w:uiPriority w:val="0"/>
    <w:qFormat/>
    <w:pPr>
      <w:widowControl/>
      <w:pBdr>
        <w:top w:val="single" w:sz="8" w:space="0" w:color="000000"/>
        <w:left w:val="single" w:sz="4"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69" w:customStyle="1">
    <w:name w:val="xl69"/>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70" w:customStyle="1">
    <w:name w:val="xl7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1" w:customStyle="1">
    <w:name w:val="xl71"/>
    <w:basedOn w:val="Normal"/>
    <w:uiPriority w:val="0"/>
    <w:qFormat/>
    <w:pPr>
      <w:widowControl/>
      <w:pBdr>
        <w:top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2" w:customStyle="1">
    <w:name w:val="xl72"/>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3" w:customStyle="1">
    <w:name w:val="xl73"/>
    <w:basedOn w:val="Normal"/>
    <w:uiPriority w:val="0"/>
    <w:qFormat/>
    <w:pPr>
      <w:widowControl/>
      <w:pBdr>
        <w:top w:val="single" w:sz="8" w:space="0" w:color="000000"/>
        <w:left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4" w:customStyle="1">
    <w:name w:val="xl74"/>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color w:val="000000"/>
      <w:kern w:val="0"/>
      <w:sz w:val="24"/>
    </w:rPr>
  </w:style>
  <w:style w:type="paragraph" w:styleId="Xl75" w:customStyle="1">
    <w:name w:val="xl7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6" w:customStyle="1">
    <w:name w:val="xl76"/>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77" w:customStyle="1">
    <w:name w:val="xl7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8" w:customStyle="1">
    <w:name w:val="xl78"/>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宋体" w:hAnsi="宋体" w:cs="宋体"/>
      <w:kern w:val="0"/>
      <w:sz w:val="24"/>
    </w:rPr>
  </w:style>
  <w:style w:type="paragraph" w:styleId="Xl79" w:customStyle="1">
    <w:name w:val="xl79"/>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0" w:customStyle="1">
    <w:name w:val="xl8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0"/>
      <w:szCs w:val="20"/>
    </w:rPr>
  </w:style>
  <w:style w:type="paragraph" w:styleId="Xl81" w:customStyle="1">
    <w:name w:val="xl8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0"/>
      <w:szCs w:val="20"/>
    </w:rPr>
  </w:style>
  <w:style w:type="paragraph" w:styleId="Xl82" w:customStyle="1">
    <w:name w:val="xl82"/>
    <w:basedOn w:val="Normal"/>
    <w:uiPriority w:val="0"/>
    <w:qFormat/>
    <w:pPr>
      <w:widowControl/>
      <w:spacing w:beforeAutospacing="1" w:afterAutospacing="1"/>
      <w:jc w:val="start"/>
    </w:pPr>
    <w:rPr>
      <w:rFonts w:ascii="宋体" w:hAnsi="宋体" w:cs="宋体"/>
      <w:kern w:val="0"/>
      <w:sz w:val="20"/>
      <w:szCs w:val="20"/>
    </w:rPr>
  </w:style>
  <w:style w:type="paragraph" w:styleId="Xl83" w:customStyle="1">
    <w:name w:val="xl83"/>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84" w:customStyle="1">
    <w:name w:val="xl84"/>
    <w:basedOn w:val="Normal"/>
    <w:uiPriority w:val="0"/>
    <w:qFormat/>
    <w:pPr>
      <w:widowControl/>
      <w:pBdr>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5" w:customStyle="1">
    <w:name w:val="xl85"/>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6" w:customStyle="1">
    <w:name w:val="xl86"/>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7" w:customStyle="1">
    <w:name w:val="xl8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8" w:customStyle="1">
    <w:name w:val="xl88"/>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9" w:customStyle="1">
    <w:name w:val="xl89"/>
    <w:basedOn w:val="Normal"/>
    <w:uiPriority w:val="0"/>
    <w:qFormat/>
    <w:pPr>
      <w:widowControl/>
      <w:pBdr>
        <w:top w:val="single" w:sz="8" w:space="0" w:color="000000"/>
        <w:left w:val="single" w:sz="4" w:space="0" w:color="000000"/>
        <w:bottom w:val="single" w:sz="4" w:space="0" w:color="000000"/>
      </w:pBdr>
      <w:shd w:val="clear" w:color="000000" w:fill="DBE5F1"/>
      <w:spacing w:beforeAutospacing="1" w:afterAutospacing="1"/>
      <w:jc w:val="center"/>
    </w:pPr>
    <w:rPr>
      <w:rFonts w:ascii="宋体" w:hAnsi="宋体" w:cs="宋体"/>
      <w:b/>
      <w:bCs/>
      <w:kern w:val="0"/>
      <w:sz w:val="24"/>
    </w:rPr>
  </w:style>
  <w:style w:type="paragraph" w:styleId="Xl90" w:customStyle="1">
    <w:name w:val="xl90"/>
    <w:basedOn w:val="Normal"/>
    <w:uiPriority w:val="0"/>
    <w:qFormat/>
    <w:pPr>
      <w:widowControl/>
      <w:pBdr>
        <w:top w:val="single" w:sz="8" w:space="0" w:color="000000"/>
        <w:left w:val="single" w:sz="4" w:space="0" w:color="000000"/>
        <w:bottom w:val="single" w:sz="4" w:space="0" w:color="000000"/>
        <w:right w:val="single" w:sz="8" w:space="0" w:color="000000"/>
      </w:pBdr>
      <w:shd w:val="clear" w:color="000000" w:fill="DBE5F1"/>
      <w:spacing w:beforeAutospacing="1" w:afterAutospacing="1"/>
      <w:jc w:val="center"/>
    </w:pPr>
    <w:rPr>
      <w:rFonts w:ascii="宋体" w:hAnsi="宋体" w:cs="宋体"/>
      <w:b/>
      <w:bCs/>
      <w:kern w:val="0"/>
      <w:sz w:val="24"/>
    </w:rPr>
  </w:style>
  <w:style w:type="paragraph" w:styleId="Xl91" w:customStyle="1">
    <w:name w:val="xl91"/>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2" w:customStyle="1">
    <w:name w:val="xl92"/>
    <w:basedOn w:val="Normal"/>
    <w:uiPriority w:val="0"/>
    <w:qFormat/>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93" w:customStyle="1">
    <w:name w:val="xl93"/>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4" w:customStyle="1">
    <w:name w:val="xl94"/>
    <w:basedOn w:val="Normal"/>
    <w:uiPriority w:val="0"/>
    <w:qFormat/>
    <w:pPr>
      <w:widowControl/>
      <w:pBdr>
        <w:top w:val="single" w:sz="4" w:space="0" w:color="000000"/>
        <w:left w:val="single" w:sz="4" w:space="0" w:color="000000"/>
        <w:bottom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5" w:customStyle="1">
    <w:name w:val="xl9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kern w:val="0"/>
      <w:sz w:val="20"/>
      <w:szCs w:val="20"/>
    </w:rPr>
  </w:style>
  <w:style w:type="paragraph" w:styleId="Xl96" w:customStyle="1">
    <w:name w:val="xl96"/>
    <w:basedOn w:val="Normal"/>
    <w:uiPriority w:val="0"/>
    <w:qFormat/>
    <w:pPr>
      <w:widowControl/>
      <w:pBdr>
        <w:top w:val="single" w:sz="4" w:space="0" w:color="000000"/>
        <w:left w:val="single" w:sz="4" w:space="0" w:color="000000"/>
        <w:bottom w:val="single" w:sz="4" w:space="0" w:color="000000"/>
        <w:right w:val="single" w:sz="8" w:space="0" w:color="000000"/>
      </w:pBdr>
      <w:spacing w:beforeAutospacing="1" w:afterAutospacing="1"/>
      <w:jc w:val="start"/>
    </w:pPr>
    <w:rPr>
      <w:rFonts w:ascii="宋体" w:hAnsi="宋体" w:cs="宋体"/>
      <w:kern w:val="0"/>
      <w:sz w:val="20"/>
      <w:szCs w:val="20"/>
    </w:rPr>
  </w:style>
  <w:style w:type="paragraph" w:styleId="Xl97" w:customStyle="1">
    <w:name w:val="xl97"/>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8" w:customStyle="1">
    <w:name w:val="xl98"/>
    <w:basedOn w:val="Normal"/>
    <w:uiPriority w:val="0"/>
    <w:qFormat/>
    <w:pPr>
      <w:widowControl/>
      <w:pBdr>
        <w:top w:val="single" w:sz="4" w:space="0" w:color="000000"/>
        <w:left w:val="single" w:sz="4" w:space="0" w:color="000000"/>
        <w:bottom w:val="single" w:sz="8" w:space="0" w:color="000000"/>
        <w:right w:val="single" w:sz="8" w:space="0" w:color="000000"/>
      </w:pBdr>
      <w:shd w:val="clear" w:color="000000" w:fill="FFFFFF"/>
      <w:spacing w:beforeAutospacing="1" w:afterAutospacing="1"/>
      <w:jc w:val="start"/>
    </w:pPr>
    <w:rPr>
      <w:rFonts w:ascii="宋体" w:hAnsi="宋体" w:cs="宋体"/>
      <w:kern w:val="0"/>
      <w:sz w:val="20"/>
      <w:szCs w:val="20"/>
    </w:rPr>
  </w:style>
  <w:style w:type="paragraph" w:styleId="Xl99" w:customStyle="1">
    <w:name w:val="xl99"/>
    <w:basedOn w:val="Normal"/>
    <w:uiPriority w:val="0"/>
    <w:qFormat/>
    <w:pPr>
      <w:widowControl/>
      <w:spacing w:beforeAutospacing="1" w:afterAutospacing="1"/>
      <w:jc w:val="center"/>
    </w:pPr>
    <w:rPr>
      <w:rFonts w:ascii="宋体" w:hAnsi="宋体" w:cs="宋体"/>
      <w:kern w:val="0"/>
      <w:sz w:val="20"/>
      <w:szCs w:val="20"/>
    </w:rPr>
  </w:style>
  <w:style w:type="paragraph" w:styleId="Xl100" w:customStyle="1">
    <w:name w:val="xl100"/>
    <w:basedOn w:val="Normal"/>
    <w:uiPriority w:val="0"/>
    <w:qFormat/>
    <w:pPr>
      <w:widowControl/>
      <w:spacing w:beforeAutospacing="1" w:afterAutospacing="1"/>
      <w:jc w:val="start"/>
    </w:pPr>
    <w:rPr>
      <w:rFonts w:ascii="宋体" w:hAnsi="宋体" w:cs="宋体"/>
      <w:kern w:val="0"/>
      <w:sz w:val="20"/>
      <w:szCs w:val="20"/>
    </w:rPr>
  </w:style>
  <w:style w:type="paragraph" w:styleId="Xl101" w:customStyle="1">
    <w:name w:val="xl10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102" w:customStyle="1">
    <w:name w:val="xl102"/>
    <w:basedOn w:val="Normal"/>
    <w:uiPriority w:val="0"/>
    <w:qFormat/>
    <w:pPr>
      <w:widowControl/>
      <w:pBdr>
        <w:top w:val="single" w:sz="4" w:space="0" w:color="000000"/>
        <w:left w:val="single" w:sz="4" w:space="0" w:color="000000"/>
        <w:bottom w:val="single" w:sz="4" w:space="0" w:color="000000"/>
      </w:pBdr>
      <w:spacing w:beforeAutospacing="1" w:afterAutospacing="1"/>
      <w:jc w:val="center"/>
    </w:pPr>
    <w:rPr>
      <w:rFonts w:ascii="宋体" w:hAnsi="宋体" w:cs="宋体"/>
      <w:kern w:val="0"/>
      <w:sz w:val="20"/>
      <w:szCs w:val="20"/>
    </w:rPr>
  </w:style>
  <w:style w:type="paragraph" w:styleId="Xl103" w:customStyle="1">
    <w:name w:val="xl103"/>
    <w:basedOn w:val="Normal"/>
    <w:uiPriority w:val="0"/>
    <w:qFormat/>
    <w:pPr>
      <w:widowControl/>
      <w:pBdr>
        <w:top w:val="single" w:sz="4" w:space="0" w:color="000000"/>
        <w:left w:val="single" w:sz="4" w:space="0" w:color="000000"/>
        <w:bottom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104" w:customStyle="1">
    <w:name w:val="xl104"/>
    <w:basedOn w:val="Normal"/>
    <w:uiPriority w:val="0"/>
    <w:qFormat/>
    <w:pPr>
      <w:widowControl/>
      <w:pBdr>
        <w:top w:val="single" w:sz="4" w:space="0" w:color="000000"/>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5" w:customStyle="1">
    <w:name w:val="xl105"/>
    <w:basedOn w:val="Normal"/>
    <w:uiPriority w:val="0"/>
    <w:qFormat/>
    <w:pPr>
      <w:widowControl/>
      <w:pBdr>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6" w:customStyle="1">
    <w:name w:val="xl106"/>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7" w:customStyle="1">
    <w:name w:val="xl10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8" w:customStyle="1">
    <w:name w:val="xl10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9" w:customStyle="1">
    <w:name w:val="xl109"/>
    <w:basedOn w:val="Normal"/>
    <w:uiPriority w:val="0"/>
    <w:qFormat/>
    <w:pPr>
      <w:widowControl/>
      <w:pBdr>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0" w:customStyle="1">
    <w:name w:val="xl110"/>
    <w:basedOn w:val="Normal"/>
    <w:uiPriority w:val="0"/>
    <w:qFormat/>
    <w:pPr>
      <w:widowControl/>
      <w:pBdr>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1" w:customStyle="1">
    <w:name w:val="xl111"/>
    <w:basedOn w:val="Normal"/>
    <w:uiPriority w:val="0"/>
    <w:qFormat/>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2" w:customStyle="1">
    <w:name w:val="xl112"/>
    <w:basedOn w:val="Normal"/>
    <w:uiPriority w:val="0"/>
    <w:qFormat/>
    <w:pPr>
      <w:widowControl/>
      <w:pBdr>
        <w:top w:val="single" w:sz="4" w:space="0" w:color="000000"/>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3" w:customStyle="1">
    <w:name w:val="xl113"/>
    <w:basedOn w:val="Normal"/>
    <w:uiPriority w:val="0"/>
    <w:qFormat/>
    <w:pPr>
      <w:widowControl/>
      <w:pBdr>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4" w:customStyle="1">
    <w:name w:val="xl114"/>
    <w:basedOn w:val="Normal"/>
    <w:uiPriority w:val="0"/>
    <w:qFormat/>
    <w:pPr>
      <w:widowControl/>
      <w:pBdr>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5" w:customStyle="1">
    <w:name w:val="xl115"/>
    <w:basedOn w:val="Normal"/>
    <w:uiPriority w:val="0"/>
    <w:qFormat/>
    <w:pPr>
      <w:widowControl/>
      <w:pBdr>
        <w:top w:val="single" w:sz="4" w:space="0" w:color="000000"/>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6" w:customStyle="1">
    <w:name w:val="xl116"/>
    <w:basedOn w:val="Normal"/>
    <w:uiPriority w:val="0"/>
    <w:qFormat/>
    <w:pPr>
      <w:widowControl/>
      <w:pBdr>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7" w:customStyle="1">
    <w:name w:val="xl117"/>
    <w:basedOn w:val="Normal"/>
    <w:uiPriority w:val="0"/>
    <w:qFormat/>
    <w:pPr>
      <w:widowControl/>
      <w:pBdr>
        <w:left w:val="single" w:sz="8" w:space="0" w:color="000000"/>
        <w:bottom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8" w:customStyle="1">
    <w:name w:val="xl11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kern w:val="0"/>
      <w:sz w:val="24"/>
    </w:rPr>
  </w:style>
  <w:style w:type="paragraph" w:styleId="Xl119" w:customStyle="1">
    <w:name w:val="xl119"/>
    <w:basedOn w:val="Normal"/>
    <w:uiPriority w:val="0"/>
    <w:qFormat/>
    <w:pPr>
      <w:widowControl/>
      <w:pBdr>
        <w:left w:val="single" w:sz="4" w:space="0" w:color="000000"/>
        <w:bottom w:val="single" w:sz="8" w:space="0" w:color="000000"/>
        <w:right w:val="single" w:sz="4" w:space="0" w:color="000000"/>
      </w:pBdr>
      <w:spacing w:beforeAutospacing="1" w:afterAutospacing="1"/>
      <w:jc w:val="center"/>
    </w:pPr>
    <w:rPr>
      <w:rFonts w:ascii="宋体" w:hAnsi="宋体" w:cs="宋体"/>
      <w:kern w:val="0"/>
      <w:sz w:val="24"/>
    </w:rPr>
  </w:style>
  <w:style w:type="paragraph" w:styleId="Xl120" w:customStyle="1">
    <w:name w:val="xl120"/>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table" w:default="1" w:styleId="19">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13</Pages>
  <Words>5883</Words>
  <Characters>5963</Characters>
  <CharactersWithSpaces>6111</CharactersWithSpaces>
  <Paragraphs>531</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2015-05-20T08:40:00Z</dcterms:created>
  <dc:creator>未名潮</dc:creator>
  <dc:description/>
  <dc:language>en-US</dc:language>
  <cp:lastModifiedBy>李想</cp:lastModifiedBy>
  <cp:lastPrinted>2009-02-17T05:21:00Z</cp:lastPrinted>
  <dcterms:modified xsi:type="dcterms:W3CDTF">2019-11-26T14:24:57Z</dcterms:modified>
  <cp:revision>2</cp:revision>
  <dc:subject/>
  <dc:title>客户服务部门KPI指标（结合BSC）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fileid">
    <vt:lpwstr>558030</vt:lpwstr>
  </property>
  <property fmtid="{D5CDD505-2E9C-101B-9397-08002B2CF9AE}" pid="4" name="name">
    <vt:lpwstr>HAPE22u9K266084.doc</vt:lpwstr>
  </property>
</Properties>
</file>