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-1078230</wp:posOffset>
                </wp:positionH>
                <wp:positionV relativeFrom="paragraph">
                  <wp:posOffset>-908050</wp:posOffset>
                </wp:positionV>
                <wp:extent cx="7560310" cy="10718165"/>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559640" cy="1071756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4.9pt;margin-top:-71.5pt;width:595.2pt;height:843.85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工程项目部门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b/>
          <w:b/>
          <w:sz w:val="32"/>
          <w:szCs w:val="32"/>
        </w:rPr>
      </w:pPr>
      <w:r>
        <w:rPr>
          <w:rFonts w:eastAsia="微软雅黑" w:ascii="微软雅黑" w:hAnsi="微软雅黑"/>
          <w:b/>
          <w:sz w:val="32"/>
          <w:szCs w:val="32"/>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本表格列出了工程项目部门常用的关键绩效考核指标（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100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27" w:type="dxa"/>
        <w:jc w:val="start"/>
        <w:tblInd w:w="-459" w:type="dxa"/>
        <w:tblLayout w:type="fixed"/>
        <w:tblCellMar>
          <w:top w:w="0" w:type="dxa"/>
          <w:start w:w="108" w:type="dxa"/>
          <w:bottom w:w="0" w:type="dxa"/>
          <w:end w:w="108" w:type="dxa"/>
        </w:tblCellMar>
      </w:tblPr>
      <w:tblGrid>
        <w:gridCol w:w="1299"/>
        <w:gridCol w:w="1241"/>
        <w:gridCol w:w="1146"/>
        <w:gridCol w:w="4393"/>
        <w:gridCol w:w="2835"/>
        <w:gridCol w:w="1240"/>
        <w:gridCol w:w="754"/>
        <w:gridCol w:w="1133"/>
        <w:gridCol w:w="1134"/>
        <w:gridCol w:w="850"/>
      </w:tblGrid>
      <w:tr>
        <w:trPr>
          <w:tblHeader w:val="true"/>
          <w:trHeight w:val="660" w:hRule="atLeast"/>
        </w:trPr>
        <w:tc>
          <w:tcPr>
            <w:tcW w:w="1299"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24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146"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4393"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83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5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33"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134"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850"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1350" w:hRule="atLeast"/>
        </w:trPr>
        <w:tc>
          <w:tcPr>
            <w:tcW w:w="1299"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项目管理</w:t>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项目规划及部门制度建设</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项目规划方案</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按公司要求制定项目策划书或者项目整体管理规划、施工组织方案（技术方案），且得到领导认可。</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（项目整体管理规划包括项目范围管理、进度管理、成本管理、质量管理、人力资源管理、沟通管理、采购管理、风险管理、</w:t>
            </w:r>
            <w:r>
              <w:rPr>
                <w:rFonts w:cs="宋体" w:ascii="宋体" w:hAnsi="宋体"/>
                <w:color w:val="000000"/>
                <w:kern w:val="0"/>
                <w:sz w:val="20"/>
                <w:szCs w:val="20"/>
              </w:rPr>
              <w:t>HSE</w:t>
            </w:r>
            <w:r>
              <w:rPr>
                <w:rFonts w:ascii="宋体" w:hAnsi="宋体" w:cs="宋体"/>
                <w:color w:val="000000"/>
                <w:kern w:val="0"/>
                <w:sz w:val="20"/>
                <w:szCs w:val="20"/>
              </w:rPr>
              <w:t>管理、创新管理、项目收尾管理，等等）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制度建设</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项目部相关管理制度与流程的制定、完善与及时更新，例如质量管理制度（工程质量管理体系）、采购管理制度、信息管理制度、创新管理制度、安全管理制度，等等。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3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施工方案编制与施工组织</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施工方案编制</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按公司要求制定具体的施工组织方案（技术方案），且得到项目经理认可。（具体包括施工总体目标、文明施工规划布局、进度安排、技术管理、质量管理、安全管理等）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施工班组长、施工技术员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84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施工组织与协调</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熟悉并掌握技术交底书，合理编制各单项工程进度计划及人力、物力计划；并协助项目经理组织开展各项学习活动、会议，包括技术交底书培训学习，并负责班组指挥、工序协调、人员调度、协助项目验收等，做到合理安排、科学引导、保证进度，顺利完成本工程的各项施工任务。</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施工班组长、施工技术员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项目进度管理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工作进度总结与汇报</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按照计划与要求执行各阶段工作，定期进行阶段性工作总结与汇报，并及时针对问题进行改进。</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工程项目达成率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工程项目达成率</w:t>
            </w:r>
            <w:r>
              <w:rPr>
                <w:rFonts w:cs="宋体" w:ascii="宋体" w:hAnsi="宋体"/>
                <w:color w:val="000000"/>
                <w:kern w:val="0"/>
                <w:sz w:val="22"/>
                <w:szCs w:val="22"/>
              </w:rPr>
              <w:t>=</w:t>
            </w:r>
            <w:r>
              <w:rPr>
                <w:rFonts w:ascii="宋体" w:hAnsi="宋体" w:cs="宋体"/>
                <w:color w:val="000000"/>
                <w:kern w:val="0"/>
                <w:sz w:val="22"/>
                <w:szCs w:val="22"/>
              </w:rPr>
              <w:t>实际完成工程量</w:t>
            </w:r>
            <w:r>
              <w:rPr>
                <w:rFonts w:cs="宋体" w:ascii="宋体" w:hAnsi="宋体"/>
                <w:color w:val="000000"/>
                <w:kern w:val="0"/>
                <w:sz w:val="22"/>
                <w:szCs w:val="22"/>
              </w:rPr>
              <w:t>÷</w:t>
            </w:r>
            <w:r>
              <w:rPr>
                <w:rFonts w:ascii="宋体" w:hAnsi="宋体" w:cs="宋体"/>
                <w:color w:val="000000"/>
                <w:kern w:val="0"/>
                <w:sz w:val="22"/>
                <w:szCs w:val="22"/>
              </w:rPr>
              <w:t>计划工程量</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工程项目部门、验收单位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项目完成及时率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项目完成及时率</w:t>
            </w:r>
            <w:r>
              <w:rPr>
                <w:rFonts w:cs="宋体" w:ascii="宋体" w:hAnsi="宋体"/>
                <w:color w:val="000000"/>
                <w:kern w:val="0"/>
                <w:sz w:val="22"/>
                <w:szCs w:val="22"/>
              </w:rPr>
              <w:t>=</w:t>
            </w:r>
            <w:r>
              <w:rPr>
                <w:rFonts w:ascii="宋体" w:hAnsi="宋体" w:cs="宋体"/>
                <w:color w:val="000000"/>
                <w:kern w:val="0"/>
                <w:sz w:val="22"/>
                <w:szCs w:val="22"/>
              </w:rPr>
              <w:t>及时完成工程量</w:t>
            </w:r>
            <w:r>
              <w:rPr>
                <w:rFonts w:cs="宋体" w:ascii="宋体" w:hAnsi="宋体"/>
                <w:color w:val="000000"/>
                <w:kern w:val="0"/>
                <w:sz w:val="22"/>
                <w:szCs w:val="22"/>
              </w:rPr>
              <w:t>÷</w:t>
            </w:r>
            <w:r>
              <w:rPr>
                <w:rFonts w:ascii="宋体" w:hAnsi="宋体" w:cs="宋体"/>
                <w:color w:val="000000"/>
                <w:kern w:val="0"/>
                <w:sz w:val="22"/>
                <w:szCs w:val="22"/>
              </w:rPr>
              <w:t>计划工程量</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工程项目部门、验收单位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项目质量管理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质检及时规范</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质量检查及时、规范。（主要指合理设置项目部质检员，并对每道工序进行质检。）</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设备保养与维护</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设备保养、维护及时，且维护到位，确保设备的正常运行。</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工作熟练度</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熟练掌握所负责工序的工作要求，操作无误，日常检查合格。</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工作任务完成合格率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工作任务完成合格率</w:t>
            </w:r>
            <w:r>
              <w:rPr>
                <w:rFonts w:cs="宋体" w:ascii="宋体" w:hAnsi="宋体"/>
                <w:color w:val="000000"/>
                <w:kern w:val="0"/>
                <w:sz w:val="22"/>
                <w:szCs w:val="22"/>
              </w:rPr>
              <w:t>=</w:t>
            </w:r>
            <w:r>
              <w:rPr>
                <w:rFonts w:ascii="宋体" w:hAnsi="宋体" w:cs="宋体"/>
                <w:color w:val="000000"/>
                <w:kern w:val="0"/>
                <w:sz w:val="22"/>
                <w:szCs w:val="22"/>
              </w:rPr>
              <w:t>检验合格工序数量</w:t>
            </w:r>
            <w:r>
              <w:rPr>
                <w:rFonts w:cs="宋体" w:ascii="宋体" w:hAnsi="宋体"/>
                <w:color w:val="000000"/>
                <w:kern w:val="0"/>
                <w:sz w:val="22"/>
                <w:szCs w:val="22"/>
              </w:rPr>
              <w:t>÷</w:t>
            </w:r>
            <w:r>
              <w:rPr>
                <w:rFonts w:ascii="宋体" w:hAnsi="宋体" w:cs="宋体"/>
                <w:color w:val="000000"/>
                <w:kern w:val="0"/>
                <w:sz w:val="22"/>
                <w:szCs w:val="22"/>
              </w:rPr>
              <w:t>总检验工序数量</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（具体以公司质检管理规定或者相关管理部门质检结果为准）</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4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材料合格率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材料合格率</w:t>
            </w:r>
            <w:r>
              <w:rPr>
                <w:rFonts w:cs="宋体" w:ascii="宋体" w:hAnsi="宋体"/>
                <w:color w:val="000000"/>
                <w:kern w:val="0"/>
                <w:sz w:val="22"/>
                <w:szCs w:val="22"/>
              </w:rPr>
              <w:t>=</w:t>
            </w:r>
            <w:r>
              <w:rPr>
                <w:rFonts w:ascii="宋体" w:hAnsi="宋体" w:cs="宋体"/>
                <w:color w:val="000000"/>
                <w:kern w:val="0"/>
                <w:sz w:val="22"/>
                <w:szCs w:val="22"/>
              </w:rPr>
              <w:t>质检合格批次</w:t>
            </w:r>
            <w:r>
              <w:rPr>
                <w:rFonts w:cs="宋体" w:ascii="宋体" w:hAnsi="宋体"/>
                <w:color w:val="000000"/>
                <w:kern w:val="0"/>
                <w:sz w:val="22"/>
                <w:szCs w:val="22"/>
              </w:rPr>
              <w:t>÷</w:t>
            </w:r>
            <w:r>
              <w:rPr>
                <w:rFonts w:ascii="宋体" w:hAnsi="宋体" w:cs="宋体"/>
                <w:color w:val="000000"/>
                <w:kern w:val="0"/>
                <w:sz w:val="22"/>
                <w:szCs w:val="22"/>
              </w:rPr>
              <w:t>质检总批次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（具体以公司质检管理规定或者相关管理部门质检结果为准）</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质量管理员、材料员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工程项目合格率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工程项目合格率</w:t>
            </w:r>
            <w:r>
              <w:rPr>
                <w:rFonts w:cs="宋体" w:ascii="宋体" w:hAnsi="宋体"/>
                <w:color w:val="000000"/>
                <w:kern w:val="0"/>
                <w:sz w:val="22"/>
                <w:szCs w:val="22"/>
              </w:rPr>
              <w:t>=</w:t>
            </w:r>
            <w:r>
              <w:rPr>
                <w:rFonts w:ascii="宋体" w:hAnsi="宋体" w:cs="宋体"/>
                <w:color w:val="000000"/>
                <w:kern w:val="0"/>
                <w:sz w:val="22"/>
                <w:szCs w:val="22"/>
              </w:rPr>
              <w:t>合格工程数量</w:t>
            </w:r>
            <w:r>
              <w:rPr>
                <w:rFonts w:cs="宋体" w:ascii="宋体" w:hAnsi="宋体"/>
                <w:color w:val="000000"/>
                <w:kern w:val="0"/>
                <w:sz w:val="22"/>
                <w:szCs w:val="22"/>
              </w:rPr>
              <w:t>÷</w:t>
            </w:r>
            <w:r>
              <w:rPr>
                <w:rFonts w:ascii="宋体" w:hAnsi="宋体" w:cs="宋体"/>
                <w:color w:val="000000"/>
                <w:kern w:val="0"/>
                <w:sz w:val="22"/>
                <w:szCs w:val="22"/>
              </w:rPr>
              <w:t>已完成总工程量</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（具体以公司质检管理规定或者相关管理部门质检结果为准）</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工程项目部门、验收单位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质量事故及处理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要求质量事故为零。发生质量事故一次扣</w:t>
            </w:r>
            <w:r>
              <w:rPr>
                <w:rFonts w:cs="宋体" w:ascii="宋体" w:hAnsi="宋体"/>
                <w:color w:val="000000"/>
                <w:kern w:val="0"/>
                <w:sz w:val="22"/>
                <w:szCs w:val="22"/>
              </w:rPr>
              <w:t>5</w:t>
            </w:r>
            <w:r>
              <w:rPr>
                <w:rFonts w:ascii="宋体" w:hAnsi="宋体" w:cs="宋体"/>
                <w:color w:val="000000"/>
                <w:kern w:val="0"/>
                <w:sz w:val="22"/>
                <w:szCs w:val="22"/>
              </w:rPr>
              <w:t>分，发生质量事故没有按规定及时上报或者处理不当，扣</w:t>
            </w:r>
            <w:r>
              <w:rPr>
                <w:rFonts w:cs="宋体" w:ascii="宋体" w:hAnsi="宋体"/>
                <w:color w:val="000000"/>
                <w:kern w:val="0"/>
                <w:sz w:val="22"/>
                <w:szCs w:val="22"/>
              </w:rPr>
              <w:t>10</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质量改进</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质量改进主要指切实改进工程质量或者提高工程进度，若无任何改进提案或者完全没有实现改进，此项配分为</w:t>
            </w:r>
            <w:r>
              <w:rPr>
                <w:rFonts w:cs="宋体" w:ascii="宋体" w:hAnsi="宋体"/>
                <w:color w:val="000000"/>
                <w:kern w:val="0"/>
                <w:sz w:val="22"/>
                <w:szCs w:val="22"/>
              </w:rPr>
              <w:t>0</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部门经理、工程技术人员、质量管理员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项目技术管理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及时编制工程技术交底书</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未及时完成工程技术交底书的编制，一次扣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工程技术交底书内容的完整性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技术交底的内容包括施工方法、质量要求和验收标准，施工过程中需注意的问题，可能出现意外的措施及应急方案。</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工程技术交底书是否符合要求</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技术交底书（作业指导书）要报监理工程师。经监理工程师审查后，如技术交底书不能保证作业活动的质量要求，要进行修改补充。</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组织工程技术交底书的培训工作</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及时组织技术交底书培训工作，确保</w:t>
            </w:r>
            <w:r>
              <w:rPr>
                <w:rFonts w:cs="宋体" w:ascii="宋体" w:hAnsi="宋体"/>
                <w:color w:val="000000"/>
                <w:kern w:val="0"/>
                <w:sz w:val="22"/>
                <w:szCs w:val="22"/>
              </w:rPr>
              <w:t>100%</w:t>
            </w:r>
            <w:r>
              <w:rPr>
                <w:rFonts w:ascii="宋体" w:hAnsi="宋体" w:cs="宋体"/>
                <w:color w:val="000000"/>
                <w:kern w:val="0"/>
                <w:sz w:val="22"/>
                <w:szCs w:val="22"/>
              </w:rPr>
              <w:t>培训到位，确保参加人员</w:t>
            </w:r>
            <w:r>
              <w:rPr>
                <w:rFonts w:cs="宋体" w:ascii="宋体" w:hAnsi="宋体"/>
                <w:color w:val="000000"/>
                <w:kern w:val="0"/>
                <w:sz w:val="22"/>
                <w:szCs w:val="22"/>
              </w:rPr>
              <w:t>100%</w:t>
            </w:r>
            <w:r>
              <w:rPr>
                <w:rFonts w:ascii="宋体" w:hAnsi="宋体" w:cs="宋体"/>
                <w:color w:val="000000"/>
                <w:kern w:val="0"/>
                <w:sz w:val="22"/>
                <w:szCs w:val="22"/>
              </w:rPr>
              <w:t>掌握工作内容要求。</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设备保养与维护以及技术支持</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设备保养、维护及时，且维护到位，确保设备的正常运行，并提供必要的技术支持</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施工技术员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项目采购管理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材料需求计划的合理性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主要指根据工程项目整体规划及作业计划，编制材料总需求计划。</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采购计划与发放计划的合理性与准确性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主要指根据订单数量并结合计划用量、库存量对所需材料制定合理的采购计划以及材料发放计划，做到供需平衡。</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采购计划达成率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达成率</w:t>
            </w:r>
            <w:r>
              <w:rPr>
                <w:rFonts w:cs="宋体" w:ascii="宋体" w:hAnsi="宋体"/>
                <w:color w:val="000000"/>
                <w:kern w:val="0"/>
                <w:sz w:val="22"/>
                <w:szCs w:val="22"/>
              </w:rPr>
              <w:t>=</w:t>
            </w:r>
            <w:r>
              <w:rPr>
                <w:rFonts w:ascii="宋体" w:hAnsi="宋体" w:cs="宋体"/>
                <w:color w:val="000000"/>
                <w:kern w:val="0"/>
                <w:sz w:val="22"/>
                <w:szCs w:val="22"/>
              </w:rPr>
              <w:t>实际完成采购数量</w:t>
            </w:r>
            <w:r>
              <w:rPr>
                <w:rFonts w:cs="宋体" w:ascii="宋体" w:hAnsi="宋体"/>
                <w:color w:val="000000"/>
                <w:kern w:val="0"/>
                <w:sz w:val="22"/>
                <w:szCs w:val="22"/>
              </w:rPr>
              <w:t>÷</w:t>
            </w:r>
            <w:r>
              <w:rPr>
                <w:rFonts w:ascii="宋体" w:hAnsi="宋体" w:cs="宋体"/>
                <w:color w:val="000000"/>
                <w:kern w:val="0"/>
                <w:sz w:val="22"/>
                <w:szCs w:val="22"/>
              </w:rPr>
              <w:t>计划采购数量</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采购准时交货率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采购准时交货率</w:t>
            </w:r>
            <w:r>
              <w:rPr>
                <w:rFonts w:cs="宋体" w:ascii="宋体" w:hAnsi="宋体"/>
                <w:color w:val="000000"/>
                <w:kern w:val="0"/>
                <w:sz w:val="22"/>
                <w:szCs w:val="22"/>
              </w:rPr>
              <w:t>=</w:t>
            </w:r>
            <w:r>
              <w:rPr>
                <w:rFonts w:ascii="宋体" w:hAnsi="宋体" w:cs="宋体"/>
                <w:color w:val="000000"/>
                <w:kern w:val="0"/>
                <w:sz w:val="22"/>
                <w:szCs w:val="22"/>
              </w:rPr>
              <w:t>准时交货批次</w:t>
            </w:r>
            <w:r>
              <w:rPr>
                <w:rFonts w:cs="宋体" w:ascii="宋体" w:hAnsi="宋体"/>
                <w:color w:val="000000"/>
                <w:kern w:val="0"/>
                <w:sz w:val="22"/>
                <w:szCs w:val="22"/>
              </w:rPr>
              <w:t>÷</w:t>
            </w:r>
            <w:r>
              <w:rPr>
                <w:rFonts w:ascii="宋体" w:hAnsi="宋体" w:cs="宋体"/>
                <w:color w:val="000000"/>
                <w:kern w:val="0"/>
                <w:sz w:val="22"/>
                <w:szCs w:val="22"/>
              </w:rPr>
              <w:t>采购总批次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采购质量合格率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合格率</w:t>
            </w:r>
            <w:r>
              <w:rPr>
                <w:rFonts w:cs="宋体" w:ascii="宋体" w:hAnsi="宋体"/>
                <w:color w:val="000000"/>
                <w:kern w:val="0"/>
                <w:sz w:val="22"/>
                <w:szCs w:val="22"/>
              </w:rPr>
              <w:t>=</w:t>
            </w:r>
            <w:r>
              <w:rPr>
                <w:rFonts w:ascii="宋体" w:hAnsi="宋体" w:cs="宋体"/>
                <w:color w:val="000000"/>
                <w:kern w:val="0"/>
                <w:sz w:val="22"/>
                <w:szCs w:val="22"/>
              </w:rPr>
              <w:t>合格采购批数</w:t>
            </w:r>
            <w:r>
              <w:rPr>
                <w:rFonts w:cs="宋体" w:ascii="宋体" w:hAnsi="宋体"/>
                <w:color w:val="000000"/>
                <w:kern w:val="0"/>
                <w:sz w:val="22"/>
                <w:szCs w:val="22"/>
              </w:rPr>
              <w:t>÷</w:t>
            </w:r>
            <w:r>
              <w:rPr>
                <w:rFonts w:ascii="宋体" w:hAnsi="宋体" w:cs="宋体"/>
                <w:color w:val="000000"/>
                <w:kern w:val="0"/>
                <w:sz w:val="22"/>
                <w:szCs w:val="22"/>
              </w:rPr>
              <w:t>采购总批数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不良材料退仓率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退仓率</w:t>
            </w:r>
            <w:r>
              <w:rPr>
                <w:rFonts w:cs="宋体" w:ascii="宋体" w:hAnsi="宋体"/>
                <w:color w:val="000000"/>
                <w:kern w:val="0"/>
                <w:sz w:val="22"/>
                <w:szCs w:val="22"/>
              </w:rPr>
              <w:t>=</w:t>
            </w:r>
            <w:r>
              <w:rPr>
                <w:rFonts w:ascii="宋体" w:hAnsi="宋体" w:cs="宋体"/>
                <w:color w:val="000000"/>
                <w:kern w:val="0"/>
                <w:sz w:val="22"/>
                <w:szCs w:val="22"/>
              </w:rPr>
              <w:t>退仓不良批数</w:t>
            </w:r>
            <w:r>
              <w:rPr>
                <w:rFonts w:cs="宋体" w:ascii="宋体" w:hAnsi="宋体"/>
                <w:color w:val="000000"/>
                <w:kern w:val="0"/>
                <w:sz w:val="22"/>
                <w:szCs w:val="22"/>
              </w:rPr>
              <w:t>÷</w:t>
            </w:r>
            <w:r>
              <w:rPr>
                <w:rFonts w:ascii="宋体" w:hAnsi="宋体" w:cs="宋体"/>
                <w:color w:val="000000"/>
                <w:kern w:val="0"/>
                <w:sz w:val="22"/>
                <w:szCs w:val="22"/>
              </w:rPr>
              <w:t>不良总批数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工程项目部门、仓储部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材料成本达成率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材料成本达成率</w:t>
            </w:r>
            <w:r>
              <w:rPr>
                <w:rFonts w:cs="宋体" w:ascii="宋体" w:hAnsi="宋体"/>
                <w:color w:val="000000"/>
                <w:kern w:val="0"/>
                <w:sz w:val="22"/>
                <w:szCs w:val="22"/>
              </w:rPr>
              <w:t>=</w:t>
            </w:r>
            <w:r>
              <w:rPr>
                <w:rFonts w:ascii="宋体" w:hAnsi="宋体" w:cs="宋体"/>
                <w:color w:val="000000"/>
                <w:kern w:val="0"/>
                <w:sz w:val="22"/>
                <w:szCs w:val="22"/>
              </w:rPr>
              <w:t>材料实际采购成本率</w:t>
            </w:r>
            <w:r>
              <w:rPr>
                <w:rFonts w:cs="宋体" w:ascii="宋体" w:hAnsi="宋体"/>
                <w:color w:val="000000"/>
                <w:kern w:val="0"/>
                <w:sz w:val="22"/>
                <w:szCs w:val="22"/>
              </w:rPr>
              <w:t>÷</w:t>
            </w:r>
            <w:r>
              <w:rPr>
                <w:rFonts w:ascii="宋体" w:hAnsi="宋体" w:cs="宋体"/>
                <w:color w:val="000000"/>
                <w:kern w:val="0"/>
                <w:sz w:val="22"/>
                <w:szCs w:val="22"/>
              </w:rPr>
              <w:t>计划采购成本率</w:t>
            </w:r>
            <w:r>
              <w:rPr>
                <w:rFonts w:cs="宋体" w:ascii="宋体" w:hAnsi="宋体"/>
                <w:color w:val="000000"/>
                <w:kern w:val="0"/>
                <w:sz w:val="22"/>
                <w:szCs w:val="22"/>
              </w:rPr>
              <w:t>×100</w:t>
            </w:r>
            <w:r>
              <w:rPr>
                <w:rFonts w:ascii="宋体" w:hAnsi="宋体" w:cs="宋体"/>
                <w:color w:val="000000"/>
                <w:kern w:val="0"/>
                <w:sz w:val="22"/>
                <w:szCs w:val="22"/>
              </w:rPr>
              <w:t>％（材料采购成本率</w:t>
            </w:r>
            <w:r>
              <w:rPr>
                <w:rFonts w:cs="宋体" w:ascii="宋体" w:hAnsi="宋体"/>
                <w:color w:val="000000"/>
                <w:kern w:val="0"/>
                <w:sz w:val="22"/>
                <w:szCs w:val="22"/>
              </w:rPr>
              <w:t>=</w:t>
            </w:r>
            <w:r>
              <w:rPr>
                <w:rFonts w:ascii="宋体" w:hAnsi="宋体" w:cs="宋体"/>
                <w:color w:val="000000"/>
                <w:kern w:val="0"/>
                <w:sz w:val="22"/>
                <w:szCs w:val="22"/>
              </w:rPr>
              <w:t>材料采购成本</w:t>
            </w:r>
            <w:r>
              <w:rPr>
                <w:rFonts w:cs="宋体" w:ascii="宋体" w:hAnsi="宋体"/>
                <w:color w:val="000000"/>
                <w:kern w:val="0"/>
                <w:sz w:val="22"/>
                <w:szCs w:val="22"/>
              </w:rPr>
              <w:t>÷</w:t>
            </w:r>
            <w:r>
              <w:rPr>
                <w:rFonts w:ascii="宋体" w:hAnsi="宋体" w:cs="宋体"/>
                <w:color w:val="000000"/>
                <w:kern w:val="0"/>
                <w:sz w:val="22"/>
                <w:szCs w:val="22"/>
              </w:rPr>
              <w:t>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（采购费用主要指：采购人员工资</w:t>
            </w:r>
            <w:r>
              <w:rPr>
                <w:rFonts w:cs="宋体" w:ascii="宋体" w:hAnsi="宋体"/>
                <w:color w:val="000000"/>
                <w:kern w:val="0"/>
                <w:sz w:val="20"/>
                <w:szCs w:val="20"/>
              </w:rPr>
              <w:t>(</w:t>
            </w:r>
            <w:r>
              <w:rPr>
                <w:rFonts w:ascii="宋体" w:hAnsi="宋体" w:cs="宋体"/>
                <w:color w:val="000000"/>
                <w:kern w:val="0"/>
                <w:sz w:val="20"/>
                <w:szCs w:val="20"/>
              </w:rPr>
              <w:t>不含提成</w:t>
            </w:r>
            <w:r>
              <w:rPr>
                <w:rFonts w:cs="宋体" w:ascii="宋体" w:hAnsi="宋体"/>
                <w:color w:val="000000"/>
                <w:kern w:val="0"/>
                <w:sz w:val="20"/>
                <w:szCs w:val="20"/>
              </w:rPr>
              <w:t>)</w:t>
            </w:r>
            <w:r>
              <w:rPr>
                <w:rFonts w:ascii="宋体" w:hAnsi="宋体" w:cs="宋体"/>
                <w:color w:val="000000"/>
                <w:kern w:val="0"/>
                <w:sz w:val="20"/>
                <w:szCs w:val="20"/>
              </w:rPr>
              <w:t>、差旅费、招待费、考察费、办公费等等）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材料供给及时率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供给及时率</w:t>
            </w:r>
            <w:r>
              <w:rPr>
                <w:rFonts w:cs="宋体" w:ascii="宋体" w:hAnsi="宋体"/>
                <w:color w:val="000000"/>
                <w:kern w:val="0"/>
                <w:sz w:val="22"/>
                <w:szCs w:val="22"/>
              </w:rPr>
              <w:t>=</w:t>
            </w:r>
            <w:r>
              <w:rPr>
                <w:rFonts w:ascii="宋体" w:hAnsi="宋体" w:cs="宋体"/>
                <w:color w:val="000000"/>
                <w:kern w:val="0"/>
                <w:sz w:val="22"/>
                <w:szCs w:val="22"/>
              </w:rPr>
              <w:t>准时发放批次</w:t>
            </w:r>
            <w:r>
              <w:rPr>
                <w:rFonts w:cs="宋体" w:ascii="宋体" w:hAnsi="宋体"/>
                <w:color w:val="000000"/>
                <w:kern w:val="0"/>
                <w:sz w:val="22"/>
                <w:szCs w:val="22"/>
              </w:rPr>
              <w:t>÷</w:t>
            </w:r>
            <w:r>
              <w:rPr>
                <w:rFonts w:ascii="宋体" w:hAnsi="宋体" w:cs="宋体"/>
                <w:color w:val="000000"/>
                <w:kern w:val="0"/>
                <w:sz w:val="22"/>
                <w:szCs w:val="22"/>
              </w:rPr>
              <w:t>总发放次数</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r>
              <w:rPr>
                <w:rFonts w:cs="宋体" w:ascii="宋体" w:hAnsi="宋体"/>
                <w:color w:val="000000"/>
                <w:kern w:val="0"/>
                <w:sz w:val="22"/>
                <w:szCs w:val="22"/>
              </w:rPr>
              <w:t>=</w:t>
            </w:r>
            <w:r>
              <w:rPr>
                <w:rFonts w:ascii="宋体" w:hAnsi="宋体" w:cs="宋体"/>
                <w:color w:val="000000"/>
                <w:kern w:val="0"/>
                <w:sz w:val="22"/>
                <w:szCs w:val="22"/>
              </w:rPr>
              <w:t>实际库存周转率</w:t>
            </w:r>
            <w:r>
              <w:rPr>
                <w:rFonts w:cs="宋体" w:ascii="宋体" w:hAnsi="宋体"/>
                <w:color w:val="000000"/>
                <w:kern w:val="0"/>
                <w:sz w:val="22"/>
                <w:szCs w:val="22"/>
              </w:rPr>
              <w:t>÷</w:t>
            </w:r>
            <w:r>
              <w:rPr>
                <w:rFonts w:ascii="宋体" w:hAnsi="宋体" w:cs="宋体"/>
                <w:color w:val="000000"/>
                <w:kern w:val="0"/>
                <w:sz w:val="22"/>
                <w:szCs w:val="22"/>
              </w:rPr>
              <w:t>计划库存周转率</w:t>
            </w:r>
            <w:r>
              <w:rPr>
                <w:rFonts w:cs="宋体" w:ascii="宋体" w:hAnsi="宋体"/>
                <w:color w:val="000000"/>
                <w:kern w:val="0"/>
                <w:sz w:val="22"/>
                <w:szCs w:val="22"/>
              </w:rPr>
              <w:t>×100</w:t>
            </w:r>
            <w:r>
              <w:rPr>
                <w:rFonts w:ascii="宋体" w:hAnsi="宋体" w:cs="宋体"/>
                <w:color w:val="000000"/>
                <w:kern w:val="0"/>
                <w:sz w:val="22"/>
                <w:szCs w:val="22"/>
              </w:rPr>
              <w:t>％（库存周转率</w:t>
            </w:r>
            <w:r>
              <w:rPr>
                <w:rFonts w:cs="宋体" w:ascii="宋体" w:hAnsi="宋体"/>
                <w:color w:val="000000"/>
                <w:kern w:val="0"/>
                <w:sz w:val="22"/>
                <w:szCs w:val="22"/>
              </w:rPr>
              <w:t>=</w:t>
            </w:r>
            <w:r>
              <w:rPr>
                <w:rFonts w:ascii="宋体" w:hAnsi="宋体" w:cs="宋体"/>
                <w:color w:val="000000"/>
                <w:kern w:val="0"/>
                <w:sz w:val="22"/>
                <w:szCs w:val="22"/>
              </w:rPr>
              <w:t>项目成本</w:t>
            </w:r>
            <w:r>
              <w:rPr>
                <w:rFonts w:cs="宋体" w:ascii="宋体" w:hAnsi="宋体"/>
                <w:color w:val="000000"/>
                <w:kern w:val="0"/>
                <w:sz w:val="22"/>
                <w:szCs w:val="22"/>
              </w:rPr>
              <w:t>÷</w:t>
            </w:r>
            <w:r>
              <w:rPr>
                <w:rFonts w:ascii="宋体" w:hAnsi="宋体" w:cs="宋体"/>
                <w:color w:val="000000"/>
                <w:kern w:val="0"/>
                <w:sz w:val="22"/>
                <w:szCs w:val="22"/>
              </w:rPr>
              <w:t>总库存</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4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材料供给及监管灵活度</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了解和掌握工程项目进程和对材料的需求情况、材料的利用率，监督材料使用过程、监督材料的质量情况，根据实际情况适当调整材料的采购计划或者发放计划。</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供应商开发完成率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完成率</w:t>
            </w:r>
            <w:r>
              <w:rPr>
                <w:rFonts w:cs="宋体" w:ascii="宋体" w:hAnsi="宋体"/>
                <w:color w:val="000000"/>
                <w:kern w:val="0"/>
                <w:sz w:val="22"/>
                <w:szCs w:val="22"/>
              </w:rPr>
              <w:t>=</w:t>
            </w:r>
            <w:r>
              <w:rPr>
                <w:rFonts w:ascii="宋体" w:hAnsi="宋体" w:cs="宋体"/>
                <w:color w:val="000000"/>
                <w:kern w:val="0"/>
                <w:sz w:val="22"/>
                <w:szCs w:val="22"/>
              </w:rPr>
              <w:t>新增合格供应商数量</w:t>
            </w:r>
            <w:r>
              <w:rPr>
                <w:rFonts w:cs="宋体" w:ascii="宋体" w:hAnsi="宋体"/>
                <w:color w:val="000000"/>
                <w:kern w:val="0"/>
                <w:sz w:val="22"/>
                <w:szCs w:val="22"/>
              </w:rPr>
              <w:t>÷</w:t>
            </w:r>
            <w:r>
              <w:rPr>
                <w:rFonts w:ascii="宋体" w:hAnsi="宋体" w:cs="宋体"/>
                <w:color w:val="000000"/>
                <w:kern w:val="0"/>
                <w:sz w:val="22"/>
                <w:szCs w:val="22"/>
              </w:rPr>
              <w:t>计划开发合格供应商数量</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供应商信息的完整性与准确性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具体包括供应商的基本信息、信用评估情况、供应商往来账目，等等。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材料员、采购员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项目成本控制及财务管理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材料消耗费用控制率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材料消耗费用控制率</w:t>
            </w:r>
            <w:r>
              <w:rPr>
                <w:rFonts w:cs="宋体" w:ascii="宋体" w:hAnsi="宋体"/>
                <w:color w:val="000000"/>
                <w:kern w:val="0"/>
                <w:sz w:val="22"/>
                <w:szCs w:val="22"/>
              </w:rPr>
              <w:t>=</w:t>
            </w:r>
            <w:r>
              <w:rPr>
                <w:rFonts w:ascii="宋体" w:hAnsi="宋体" w:cs="宋体"/>
                <w:color w:val="000000"/>
                <w:kern w:val="0"/>
                <w:sz w:val="22"/>
                <w:szCs w:val="22"/>
              </w:rPr>
              <w:t>实际材料消耗费用</w:t>
            </w:r>
            <w:r>
              <w:rPr>
                <w:rFonts w:cs="宋体" w:ascii="宋体" w:hAnsi="宋体"/>
                <w:color w:val="000000"/>
                <w:kern w:val="0"/>
                <w:sz w:val="22"/>
                <w:szCs w:val="22"/>
              </w:rPr>
              <w:t>÷</w:t>
            </w:r>
            <w:r>
              <w:rPr>
                <w:rFonts w:ascii="宋体" w:hAnsi="宋体" w:cs="宋体"/>
                <w:color w:val="000000"/>
                <w:kern w:val="0"/>
                <w:sz w:val="22"/>
                <w:szCs w:val="22"/>
              </w:rPr>
              <w:t>计划材料消耗费用</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设备改造成本降低</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主要指利用技术力量进行设备改造，大大降低设备整机采购成本或者提高设备运行效率。</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部门经营费用控制率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部门经营费用控制率</w:t>
            </w:r>
            <w:r>
              <w:rPr>
                <w:rFonts w:cs="宋体" w:ascii="宋体" w:hAnsi="宋体"/>
                <w:color w:val="000000"/>
                <w:kern w:val="0"/>
                <w:sz w:val="22"/>
                <w:szCs w:val="22"/>
              </w:rPr>
              <w:t>=</w:t>
            </w:r>
            <w:r>
              <w:rPr>
                <w:rFonts w:ascii="宋体" w:hAnsi="宋体" w:cs="宋体"/>
                <w:color w:val="000000"/>
                <w:kern w:val="0"/>
                <w:sz w:val="22"/>
                <w:szCs w:val="22"/>
              </w:rPr>
              <w:t>实际经营费用</w:t>
            </w:r>
            <w:r>
              <w:rPr>
                <w:rFonts w:cs="宋体" w:ascii="宋体" w:hAnsi="宋体"/>
                <w:color w:val="000000"/>
                <w:kern w:val="0"/>
                <w:sz w:val="22"/>
                <w:szCs w:val="22"/>
              </w:rPr>
              <w:t>÷</w:t>
            </w:r>
            <w:r>
              <w:rPr>
                <w:rFonts w:ascii="宋体" w:hAnsi="宋体" w:cs="宋体"/>
                <w:color w:val="000000"/>
                <w:kern w:val="0"/>
                <w:sz w:val="22"/>
                <w:szCs w:val="22"/>
              </w:rPr>
              <w:t>预算经营费用</w:t>
            </w:r>
            <w:r>
              <w:rPr>
                <w:rFonts w:cs="宋体" w:ascii="宋体" w:hAnsi="宋体"/>
                <w:color w:val="000000"/>
                <w:kern w:val="0"/>
                <w:sz w:val="22"/>
                <w:szCs w:val="22"/>
              </w:rPr>
              <w:t>×100</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（主要包括人员费用、差旅费、办公费、设备费、维修费等。）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资金预算管理以及成本控制计划</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科学合理制定项目资金预算管理规划以及成本控制计划，并得到项目经理的认可。</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成本控制体系完善</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建立、完善财务成本控制体系，建立相应的全面预算管理与成本控制管理机制，并不断完善相关管理制度与流程。</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固定资产购置超计划率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固定资产的购置没有超出计划率。</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成本费用降低率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费用降低率</w:t>
            </w:r>
            <w:r>
              <w:rPr>
                <w:rFonts w:cs="宋体" w:ascii="宋体" w:hAnsi="宋体"/>
                <w:color w:val="000000"/>
                <w:kern w:val="0"/>
                <w:sz w:val="22"/>
                <w:szCs w:val="22"/>
              </w:rPr>
              <w:t>=1</w:t>
            </w:r>
            <w:r>
              <w:rPr>
                <w:rFonts w:ascii="宋体" w:hAnsi="宋体" w:cs="宋体"/>
                <w:color w:val="000000"/>
                <w:kern w:val="0"/>
                <w:sz w:val="22"/>
                <w:szCs w:val="22"/>
              </w:rPr>
              <w:t>一当期实际发生费用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％。费用包括：材料费用、制造费用、外加工费用、管理费用、销售费用，等等。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成本费用（材料费用、制造费用、外加工费用、管理费用、销售费用）</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部门经理、预算员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1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核对账目</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定期核对各类往来账目，要求及时、准确无误。</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定期进行成本核算</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及时、全面、准确的开展核算工作，并及时提交各类成本核算明细表，能及时反映和解决核算中所发现的问题，差错率不超过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5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提交成本分析报告</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按照公司规定要求定期提交财务成本分析报告，报告考核因素：上交及时性、数据准确性、内容全面性、问题分析充分性、建议合理性。</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提交盘点分析报告</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按照公司规定要求定期提交固定资产、材料、存货等资产盘点分析报告，报告考核因素：上交及时性、数据准确性、内容全面性、问题分析充分性、建议合理性。</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9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资金管理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定期提交资金结存表、资金管理控制表等。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供应商管理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定期提交供应商评估表。</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0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完成有关制证工作</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要求对有关财务凭证填写完整、准确、清晰，且制证及时、规范，保存完好，差错率不超过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（具体包括项目成本核算（材料费用、制造费用、外加工费用、管理费用、销售费用）、应收应付、销售成本、存货核算及会计报表。）</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账簿及档案资料管理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妥善保管成本分析、预算管理过程中涉及的各类账簿资料、报表、分析报告等，并保守秘密。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8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项目沟通管理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具体包括技术交底培训、作业指导培训、安全教育培训、质量管理培训、质量改进活动、工作报告、问题协调会议等。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内部协调</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与公司内部各部门保持良好关系。</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外部关系</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与外部合作机构或者部门保持良好关系，并及时有效的协调并解决问题。</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工程项目部门、合作机构反馈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35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项目团队管理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部门员工满意度；员工流失率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培育、指导、考核部门员工，且团队成员对该部门的工作氛围、领导风格、领导支持（学习发展、生活关爱、成长辅导支持）等具有较高的满意度；员工流失率得到有效控制。</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部门能力测评</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根据测评结果，部门员工能力得到较大提高，且部门表现为较强的凝聚力与执行力。</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合同管理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合同签订与跟进</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按期与各方完成各种合同签订，并做好合同法律风险防范工作以及后期合同履约跟进工作。（具体扣分自行拟定）</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结算与对账</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定期完成与甲方和供应商的结算与对账工作。若出现一次不及时，扣</w:t>
            </w:r>
            <w:r>
              <w:rPr>
                <w:rFonts w:cs="宋体" w:ascii="宋体" w:hAnsi="宋体"/>
                <w:color w:val="000000"/>
                <w:kern w:val="0"/>
                <w:sz w:val="22"/>
                <w:szCs w:val="22"/>
              </w:rPr>
              <w:t>1</w:t>
            </w:r>
            <w:r>
              <w:rPr>
                <w:rFonts w:ascii="宋体" w:hAnsi="宋体" w:cs="宋体"/>
                <w:color w:val="000000"/>
                <w:kern w:val="0"/>
                <w:sz w:val="22"/>
                <w:szCs w:val="22"/>
              </w:rPr>
              <w:t>分；若对账出现错误，一次扣</w:t>
            </w:r>
            <w:r>
              <w:rPr>
                <w:rFonts w:cs="宋体" w:ascii="宋体" w:hAnsi="宋体"/>
                <w:color w:val="000000"/>
                <w:kern w:val="0"/>
                <w:sz w:val="22"/>
                <w:szCs w:val="22"/>
              </w:rPr>
              <w:t>1</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4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回款及时率</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项目款回收及时率</w:t>
            </w:r>
            <w:r>
              <w:rPr>
                <w:rFonts w:cs="宋体" w:ascii="宋体" w:hAnsi="宋体"/>
                <w:color w:val="000000"/>
                <w:kern w:val="0"/>
                <w:sz w:val="22"/>
                <w:szCs w:val="22"/>
              </w:rPr>
              <w:t>=</w:t>
            </w:r>
            <w:r>
              <w:rPr>
                <w:rFonts w:ascii="宋体" w:hAnsi="宋体" w:cs="宋体"/>
                <w:color w:val="000000"/>
                <w:kern w:val="0"/>
                <w:sz w:val="22"/>
                <w:szCs w:val="22"/>
              </w:rPr>
              <w:t>及时回项目款额</w:t>
            </w:r>
            <w:r>
              <w:rPr>
                <w:rFonts w:cs="宋体" w:ascii="宋体" w:hAnsi="宋体"/>
                <w:color w:val="000000"/>
                <w:kern w:val="0"/>
                <w:sz w:val="22"/>
                <w:szCs w:val="22"/>
              </w:rPr>
              <w:t>÷</w:t>
            </w:r>
            <w:r>
              <w:rPr>
                <w:rFonts w:ascii="宋体" w:hAnsi="宋体" w:cs="宋体"/>
                <w:color w:val="000000"/>
                <w:kern w:val="0"/>
                <w:sz w:val="22"/>
                <w:szCs w:val="22"/>
              </w:rPr>
              <w:t>应收项目款额</w:t>
            </w:r>
            <w:r>
              <w:rPr>
                <w:rFonts w:cs="宋体" w:ascii="宋体" w:hAnsi="宋体"/>
                <w:color w:val="000000"/>
                <w:kern w:val="0"/>
                <w:sz w:val="22"/>
                <w:szCs w:val="22"/>
              </w:rPr>
              <w:t>(</w:t>
            </w:r>
            <w:r>
              <w:rPr>
                <w:rFonts w:ascii="宋体" w:hAnsi="宋体" w:cs="宋体"/>
                <w:color w:val="000000"/>
                <w:kern w:val="0"/>
                <w:sz w:val="22"/>
                <w:szCs w:val="22"/>
              </w:rPr>
              <w:t>不含银行费用</w:t>
            </w:r>
            <w:r>
              <w:rPr>
                <w:rFonts w:cs="宋体" w:ascii="宋体" w:hAnsi="宋体"/>
                <w:color w:val="000000"/>
                <w:kern w:val="0"/>
                <w:sz w:val="22"/>
                <w:szCs w:val="22"/>
              </w:rPr>
              <w:t>)×100</w:t>
            </w:r>
            <w:r>
              <w:rPr>
                <w:rFonts w:ascii="宋体" w:hAnsi="宋体" w:cs="宋体"/>
                <w:color w:val="000000"/>
                <w:kern w:val="0"/>
                <w:sz w:val="22"/>
                <w:szCs w:val="22"/>
              </w:rPr>
              <w:t>％（项目部做好收款工作，保证项目部的正常生产及公司的正常运转。）</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预算员、财务人员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3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信息管理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资料整理并归档的及时性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未及时整理、归档各类文件、档案及信息，一次扣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（具体档案内容包括项目部管理规章制度、项目会议记录、技术资料、质量检查表、各类工作报告、项目合同、项目验收报告、财务数据、领导要求整理的有关信息数据等等。）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资料完整性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分类准确无误，且完整、无遗漏。未按要求分类归档，每次扣</w:t>
            </w:r>
            <w:r>
              <w:rPr>
                <w:rFonts w:cs="宋体" w:ascii="宋体" w:hAnsi="宋体"/>
                <w:color w:val="000000"/>
                <w:kern w:val="0"/>
                <w:sz w:val="22"/>
                <w:szCs w:val="22"/>
              </w:rPr>
              <w:t>2</w:t>
            </w:r>
            <w:r>
              <w:rPr>
                <w:rFonts w:ascii="宋体" w:hAnsi="宋体" w:cs="宋体"/>
                <w:color w:val="000000"/>
                <w:kern w:val="0"/>
                <w:sz w:val="22"/>
                <w:szCs w:val="22"/>
              </w:rPr>
              <w:t>分，扣完为止；未能有效地保管，则此项配分全扣。</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资料保管的规范性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出现不规范现象一次，扣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分。不规范是指没有按照公司相关规定进行资料保管。</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反馈及时性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反馈不及时一次扣</w:t>
            </w:r>
            <w:r>
              <w:rPr>
                <w:rFonts w:cs="宋体" w:ascii="宋体" w:hAnsi="宋体"/>
                <w:color w:val="000000"/>
                <w:kern w:val="0"/>
                <w:sz w:val="22"/>
                <w:szCs w:val="22"/>
              </w:rPr>
              <w:t>2</w:t>
            </w:r>
            <w:r>
              <w:rPr>
                <w:rFonts w:ascii="宋体" w:hAnsi="宋体" w:cs="宋体"/>
                <w:color w:val="000000"/>
                <w:kern w:val="0"/>
                <w:sz w:val="22"/>
                <w:szCs w:val="22"/>
              </w:rPr>
              <w:t>分（及时是指：及时向上级领导及相关部门提交技术资料、质量报告与相关表单及信息）</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反馈准确性</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反馈不准确一次扣</w:t>
            </w:r>
            <w:r>
              <w:rPr>
                <w:rFonts w:cs="宋体" w:ascii="宋体" w:hAnsi="宋体"/>
                <w:color w:val="000000"/>
                <w:kern w:val="0"/>
                <w:sz w:val="22"/>
                <w:szCs w:val="22"/>
              </w:rPr>
              <w:t>2</w:t>
            </w:r>
            <w:r>
              <w:rPr>
                <w:rFonts w:ascii="宋体" w:hAnsi="宋体" w:cs="宋体"/>
                <w:color w:val="000000"/>
                <w:kern w:val="0"/>
                <w:sz w:val="22"/>
                <w:szCs w:val="22"/>
              </w:rPr>
              <w:t>分（主要指反馈的数据信息的完整性以及准确性），扣完为止。</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保密管理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数据信息泄露发生一次，影响不大的扣</w:t>
            </w:r>
            <w:r>
              <w:rPr>
                <w:rFonts w:cs="宋体" w:ascii="宋体" w:hAnsi="宋体"/>
                <w:color w:val="000000"/>
                <w:kern w:val="0"/>
                <w:sz w:val="22"/>
                <w:szCs w:val="22"/>
              </w:rPr>
              <w:t>5</w:t>
            </w:r>
            <w:r>
              <w:rPr>
                <w:rFonts w:ascii="宋体" w:hAnsi="宋体" w:cs="宋体"/>
                <w:color w:val="000000"/>
                <w:kern w:val="0"/>
                <w:sz w:val="22"/>
                <w:szCs w:val="22"/>
              </w:rPr>
              <w:t>分，造成公司严重损失的，此项配分全无，且追求其法律责任。</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资料员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0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管理（职业健康安全与环境管理）</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管理体系</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建立健全完善的职业健康安全与环境管理体系，例如安全生产责任制、安全作业管理制度、安全技术交底书、作业许可证制度、员工职业健康安全管理规定、环境保护与管理规定等等。定期检查、不断改进。</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安全（例如施工安全）</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零安全事故。出现一次安全事故，此项配分为零分；未按照相关管理规定进行事故调查、处理及报告，扣</w:t>
            </w:r>
            <w:r>
              <w:rPr>
                <w:rFonts w:cs="宋体" w:ascii="宋体" w:hAnsi="宋体"/>
                <w:color w:val="000000"/>
                <w:kern w:val="0"/>
                <w:sz w:val="22"/>
                <w:szCs w:val="22"/>
              </w:rPr>
              <w:t>10</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管理（或者现场管理、文明施工等等）</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积极推行</w:t>
            </w:r>
            <w:r>
              <w:rPr>
                <w:rFonts w:cs="宋体" w:ascii="宋体" w:hAnsi="宋体"/>
                <w:color w:val="000000"/>
                <w:kern w:val="0"/>
                <w:sz w:val="22"/>
                <w:szCs w:val="22"/>
              </w:rPr>
              <w:t>5S</w:t>
            </w:r>
            <w:r>
              <w:rPr>
                <w:rFonts w:ascii="宋体" w:hAnsi="宋体" w:cs="宋体"/>
                <w:color w:val="000000"/>
                <w:kern w:val="0"/>
                <w:sz w:val="22"/>
                <w:szCs w:val="22"/>
              </w:rPr>
              <w:t>管理，按照计划实施各项检查工作，</w:t>
            </w:r>
            <w:r>
              <w:rPr>
                <w:rFonts w:cs="宋体" w:ascii="宋体" w:hAnsi="宋体"/>
                <w:color w:val="000000"/>
                <w:kern w:val="0"/>
                <w:sz w:val="22"/>
                <w:szCs w:val="22"/>
              </w:rPr>
              <w:t>5S</w:t>
            </w:r>
            <w:r>
              <w:rPr>
                <w:rFonts w:ascii="宋体" w:hAnsi="宋体" w:cs="宋体"/>
                <w:color w:val="000000"/>
                <w:kern w:val="0"/>
                <w:sz w:val="22"/>
                <w:szCs w:val="22"/>
              </w:rPr>
              <w:t>检查成绩达标或者评优成绩突出。</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教育培训</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考核通过率为</w:t>
            </w:r>
            <w:r>
              <w:rPr>
                <w:rFonts w:cs="宋体" w:ascii="宋体" w:hAnsi="宋体"/>
                <w:color w:val="000000"/>
                <w:kern w:val="0"/>
                <w:sz w:val="22"/>
                <w:szCs w:val="22"/>
              </w:rPr>
              <w:t>100%</w:t>
            </w:r>
            <w:r>
              <w:rPr>
                <w:rFonts w:ascii="宋体" w:hAnsi="宋体" w:cs="宋体"/>
                <w:color w:val="000000"/>
                <w:kern w:val="0"/>
                <w:sz w:val="22"/>
                <w:szCs w:val="22"/>
              </w:rPr>
              <w:t>。按照安全教育要求，定期组织教育培训活动。具体包括监督人员的</w:t>
            </w:r>
            <w:r>
              <w:rPr>
                <w:rFonts w:cs="宋体" w:ascii="宋体" w:hAnsi="宋体"/>
                <w:color w:val="000000"/>
                <w:kern w:val="0"/>
                <w:sz w:val="22"/>
                <w:szCs w:val="22"/>
              </w:rPr>
              <w:t>HSE</w:t>
            </w:r>
            <w:r>
              <w:rPr>
                <w:rFonts w:ascii="宋体" w:hAnsi="宋体" w:cs="宋体"/>
                <w:color w:val="000000"/>
                <w:kern w:val="0"/>
                <w:sz w:val="22"/>
                <w:szCs w:val="22"/>
              </w:rPr>
              <w:t>训练、新员工的教育培训、教育培训考核等工作。</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会议活动</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定期组织各类安全学习、交流会议与活动。例如每周至少一次安全主题例会。</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HSE</w:t>
            </w:r>
            <w:r>
              <w:rPr>
                <w:rFonts w:ascii="宋体" w:hAnsi="宋体" w:cs="宋体"/>
                <w:color w:val="000000"/>
                <w:kern w:val="0"/>
                <w:sz w:val="22"/>
                <w:szCs w:val="22"/>
              </w:rPr>
              <w:t>检查与改进</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定期与不定期组织开展</w:t>
            </w:r>
            <w:r>
              <w:rPr>
                <w:rFonts w:cs="宋体" w:ascii="宋体" w:hAnsi="宋体"/>
                <w:color w:val="000000"/>
                <w:kern w:val="0"/>
                <w:sz w:val="22"/>
                <w:szCs w:val="22"/>
              </w:rPr>
              <w:t>HSE</w:t>
            </w:r>
            <w:r>
              <w:rPr>
                <w:rFonts w:ascii="宋体" w:hAnsi="宋体" w:cs="宋体"/>
                <w:color w:val="000000"/>
                <w:kern w:val="0"/>
                <w:sz w:val="22"/>
                <w:szCs w:val="22"/>
              </w:rPr>
              <w:t>检查工作，并针对问题及时改进。具体可结合</w:t>
            </w:r>
            <w:r>
              <w:rPr>
                <w:rFonts w:cs="宋体" w:ascii="宋体" w:hAnsi="宋体"/>
                <w:color w:val="000000"/>
                <w:kern w:val="0"/>
                <w:sz w:val="22"/>
                <w:szCs w:val="22"/>
              </w:rPr>
              <w:t>HSE</w:t>
            </w:r>
            <w:r>
              <w:rPr>
                <w:rFonts w:ascii="宋体" w:hAnsi="宋体" w:cs="宋体"/>
                <w:color w:val="000000"/>
                <w:kern w:val="0"/>
                <w:sz w:val="22"/>
                <w:szCs w:val="22"/>
              </w:rPr>
              <w:t>管理检查表、安全管理检查表、</w:t>
            </w:r>
            <w:r>
              <w:rPr>
                <w:rFonts w:cs="宋体" w:ascii="宋体" w:hAnsi="宋体"/>
                <w:color w:val="000000"/>
                <w:kern w:val="0"/>
                <w:sz w:val="22"/>
                <w:szCs w:val="22"/>
              </w:rPr>
              <w:t>5S</w:t>
            </w:r>
            <w:r>
              <w:rPr>
                <w:rFonts w:ascii="宋体" w:hAnsi="宋体" w:cs="宋体"/>
                <w:color w:val="000000"/>
                <w:kern w:val="0"/>
                <w:sz w:val="22"/>
                <w:szCs w:val="22"/>
              </w:rPr>
              <w:t>管理检查表进行实施。</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应急措施及应急演习</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成功有效的开展应急演习活动，并具备完善、灵活的应急机制与措施。</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班前安全活动</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建立了班前安全活动制度，并做好每一次的班前安全活动记录。</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安全隐患处理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隐患发生一次，扣</w:t>
            </w:r>
            <w:r>
              <w:rPr>
                <w:rFonts w:cs="宋体" w:ascii="宋体" w:hAnsi="宋体"/>
                <w:color w:val="000000"/>
                <w:kern w:val="0"/>
                <w:sz w:val="22"/>
                <w:szCs w:val="22"/>
              </w:rPr>
              <w:t>2</w:t>
            </w:r>
            <w:r>
              <w:rPr>
                <w:rFonts w:ascii="宋体" w:hAnsi="宋体" w:cs="宋体"/>
                <w:color w:val="000000"/>
                <w:kern w:val="0"/>
                <w:sz w:val="22"/>
                <w:szCs w:val="22"/>
              </w:rPr>
              <w:t>分；未按照相关管理规定进行事故调查、处理及报告，扣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施工场地及现场管理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现场施工安全管理措施是否到位，例如现场围挡、道路、工地环境、排水设施、封闭式管理、员工着装要求等。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1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安全技术交底落实</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分部门或者分项目实施工程安全技术交底，必须提供书面安全技术交底并落实责任、履行签字手续。</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安全标志</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按安全标志总平面图设置安全标志，包括标牌、宣传栏、安全标语等安全提示展示区域。</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个人防护用品</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个人防护用品配备的数量、质量及保管符合规定与要求。</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作业许可证制度</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主要指特种作业人员必须持证上岗。</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机械、设备、防护设施、工具等的安全防护及维护</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机械、设备、防护设施（例如消防设备）、工具等的安全防护及维护措施是否到位。</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化学品危害控制</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针对化学品采取了有效措施进行危险防范与控制。</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易燃和易爆物品控制</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对易燃易爆品进行了有效的危险防范与控制。</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火灾控制措施</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消防器材、设施、通道设置到位，用火用电符合安全管理规定。</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废物和垃圾收集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废物和垃圾得到及时收集、分类整理与正确处理。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（工地）生活环境与设施</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住宿环境及生活设施符合相关规定与要求，坚持卫生消毒、卫生防疫，并在</w:t>
            </w:r>
            <w:r>
              <w:rPr>
                <w:rFonts w:cs="宋体" w:ascii="宋体" w:hAnsi="宋体"/>
                <w:color w:val="000000"/>
                <w:kern w:val="0"/>
                <w:sz w:val="22"/>
                <w:szCs w:val="22"/>
              </w:rPr>
              <w:t>5S</w:t>
            </w:r>
            <w:r>
              <w:rPr>
                <w:rFonts w:ascii="宋体" w:hAnsi="宋体" w:cs="宋体"/>
                <w:color w:val="000000"/>
                <w:kern w:val="0"/>
                <w:sz w:val="22"/>
                <w:szCs w:val="22"/>
              </w:rPr>
              <w:t>管理检查中达标。</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治安综合治理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生活区给工人设置学习和娱乐场所；建立治安保卫制度；治安防范措施到位。</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保健急救</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配备保健医药箱、急救器材；拥有经过培训的急救人员、健全的急救机制；积极开展卫生防病宣传教育。</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环境保护</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采取了防粉尘、防噪声、防污染措施；夜间杜绝施工的；现场杜绝焚烧垃圾或者有毒、有害物质；建立了施工不扰民措施。</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299"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员工满意度（主要指</w:t>
            </w:r>
            <w:r>
              <w:rPr>
                <w:rFonts w:cs="宋体" w:ascii="宋体" w:hAnsi="宋体"/>
                <w:color w:val="000000"/>
                <w:kern w:val="0"/>
                <w:sz w:val="22"/>
                <w:szCs w:val="22"/>
              </w:rPr>
              <w:t>HSE</w:t>
            </w:r>
            <w:r>
              <w:rPr>
                <w:rFonts w:ascii="宋体" w:hAnsi="宋体" w:cs="宋体"/>
                <w:color w:val="000000"/>
                <w:kern w:val="0"/>
                <w:sz w:val="22"/>
                <w:szCs w:val="22"/>
              </w:rPr>
              <w:t>方面）</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员工满意度较高，主要是指针对员工身体健康、人身安全等方面管理工作的评价。</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部门经理、安全员</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30" w:hRule="atLeast"/>
        </w:trPr>
        <w:tc>
          <w:tcPr>
            <w:tcW w:w="1299"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项目成果</w:t>
            </w:r>
          </w:p>
        </w:tc>
        <w:tc>
          <w:tcPr>
            <w:tcW w:w="1241"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项目目标达成</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项目目标达成情况（综合）</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是否完成项目计划目标，具体包括项目生产或者经营业绩任务、质量目标、成本控制目标、营业收入指标、利润指标。</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本项指标与进度管理、质量管理、成本管理中相关考核指标可能存在一些重复，需要进行协调处理。若前面没有体现，则应该在此增加相应的比重。</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99"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项目效益</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财务效益</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主要指盈利能力、清偿能力以及发展能力。例如利润率、财务内部收益率、投资回报率、速动率、应收账周转率、收入增长率。</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（具体应根据实际需求进行指标的选择）</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299"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社会与环境效益</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主要指项目为社会、环境等创造的附加价值。</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299"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客户满意度</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客户满意度</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依据客户满意度调查结果评价，需达</w:t>
            </w:r>
            <w:r>
              <w:rPr>
                <w:rFonts w:cs="宋体" w:ascii="宋体" w:hAnsi="宋体"/>
                <w:color w:val="000000"/>
                <w:kern w:val="0"/>
                <w:sz w:val="22"/>
                <w:szCs w:val="22"/>
              </w:rPr>
              <w:t>95%</w:t>
            </w:r>
            <w:r>
              <w:rPr>
                <w:rFonts w:ascii="宋体" w:hAnsi="宋体" w:cs="宋体"/>
                <w:color w:val="000000"/>
                <w:kern w:val="0"/>
                <w:sz w:val="22"/>
                <w:szCs w:val="22"/>
              </w:rPr>
              <w:t>以上。若出现客户投诉，一次扣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工程项目部门、财务部门、客户满意度调查</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299"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其它日常工作及后勤管理</w:t>
            </w:r>
          </w:p>
        </w:tc>
        <w:tc>
          <w:tcPr>
            <w:tcW w:w="1241"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99"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制度执行</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部门管理制度的执行情况</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严格按照本部门管理制度与流程执行工作。</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299"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后勤管理及其它日常工作</w:t>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后勤管理</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主要指后勤日常事务管理、组织大家学习和开例会，合理安排并计划支付资金（包括采购计划），进行费用报销，保证施工的后勤保障等。</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99"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83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241"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146"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439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439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439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439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439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4393"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5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146"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439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83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299"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1"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46"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4393"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835"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54"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3"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工程项目部门、人力资源部</w:t>
            </w:r>
          </w:p>
        </w:tc>
        <w:tc>
          <w:tcPr>
            <w:tcW w:w="1134"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50"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qFormat/>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18</Pages>
  <Words>8283</Words>
  <Characters>8396</Characters>
  <CharactersWithSpaces>8590</CharactersWithSpaces>
  <Paragraphs>666</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2015-05-20T08:40:00Z</dcterms:created>
  <dc:creator>未名潮</dc:creator>
  <dc:description/>
  <dc:language>en-US</dc:language>
  <cp:lastModifiedBy>李想</cp:lastModifiedBy>
  <cp:lastPrinted>2009-02-17T05:21:00Z</cp:lastPrinted>
  <dcterms:modified xsi:type="dcterms:W3CDTF">2019-11-26T14:25:22Z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558031</vt:lpwstr>
  </property>
  <property fmtid="{D5CDD505-2E9C-101B-9397-08002B2CF9AE}" pid="4" name="name">
    <vt:lpwstr>3r0xzSr9d232426.doc</vt:lpwstr>
  </property>
</Properties>
</file>