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华文中宋" w:hAnsi="华文中宋" w:eastAsia="华文中宋" w:cs="华文中宋"/>
          <w:b/>
          <w:b/>
          <w:bCs/>
          <w:sz w:val="44"/>
          <w:szCs w:val="44"/>
        </w:rPr>
      </w:pPr>
      <w:r>
        <w:rPr>
          <w:rFonts w:ascii="华文中宋" w:hAnsi="华文中宋" w:cs="华文中宋" w:eastAsia="华文中宋"/>
          <w:b/>
          <w:bCs/>
          <w:sz w:val="44"/>
          <w:szCs w:val="44"/>
        </w:rPr>
        <w:t>年度绩效考核双向责任书</w:t>
      </w:r>
    </w:p>
    <w:tbl>
      <w:tblPr>
        <w:tblW w:w="145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20"/>
        <w:gridCol w:w="1440"/>
        <w:gridCol w:w="756"/>
        <w:gridCol w:w="1368"/>
        <w:gridCol w:w="393"/>
        <w:gridCol w:w="687"/>
        <w:gridCol w:w="1653"/>
        <w:gridCol w:w="1083"/>
        <w:gridCol w:w="1080"/>
        <w:gridCol w:w="1080"/>
        <w:gridCol w:w="1620"/>
        <w:gridCol w:w="1260"/>
      </w:tblGrid>
      <w:tr>
        <w:trPr>
          <w:trHeight w:val="278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责任人</w:t>
            </w:r>
          </w:p>
        </w:tc>
        <w:tc>
          <w:tcPr>
            <w:tcW w:w="4677" w:type="dxa"/>
            <w:gridSpan w:val="5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40" w:type="dxa"/>
            <w:gridSpan w:val="2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所在部门</w:t>
            </w:r>
          </w:p>
        </w:tc>
        <w:tc>
          <w:tcPr>
            <w:tcW w:w="6123" w:type="dxa"/>
            <w:gridSpan w:val="5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440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负责业务</w:t>
            </w:r>
          </w:p>
        </w:tc>
        <w:tc>
          <w:tcPr>
            <w:tcW w:w="13140" w:type="dxa"/>
            <w:gridSpan w:val="1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1440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考核周期</w:t>
            </w:r>
          </w:p>
        </w:tc>
        <w:tc>
          <w:tcPr>
            <w:tcW w:w="13140" w:type="dxa"/>
            <w:gridSpan w:val="1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4580" w:type="dxa"/>
            <w:gridSpan w:val="13"/>
            <w:tcBorders>
              <w:top w:val="single" w:sz="8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黑体;SimHei" w:hAnsi="黑体;SimHei" w:cs="黑体;SimHei" w:eastAsia="黑体;SimHei"/>
                <w:b/>
                <w:bCs/>
                <w:sz w:val="24"/>
                <w:szCs w:val="24"/>
              </w:rPr>
              <w:t>年度考核指标</w:t>
            </w:r>
            <w:r>
              <w:rPr>
                <w:rFonts w:ascii="楷体_GB2312;Arial Unicode MS" w:hAnsi="楷体_GB2312;Arial Unicode MS" w:cs="楷体_GB2312;Arial Unicode MS" w:eastAsia="楷体_GB2312;Arial Unicode MS"/>
                <w:sz w:val="24"/>
                <w:szCs w:val="24"/>
              </w:rPr>
              <w:t>（含季度指标分解规则）</w:t>
            </w:r>
          </w:p>
        </w:tc>
      </w:tr>
      <w:tr>
        <w:trPr>
          <w:trHeight w:val="510" w:hRule="atLeast"/>
        </w:trPr>
        <w:tc>
          <w:tcPr>
            <w:tcW w:w="1440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关键业务</w:t>
            </w:r>
          </w:p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类别</w:t>
            </w:r>
          </w:p>
        </w:tc>
        <w:tc>
          <w:tcPr>
            <w:tcW w:w="7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一级权重</w:t>
            </w:r>
          </w:p>
        </w:tc>
        <w:tc>
          <w:tcPr>
            <w:tcW w:w="14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关键绩效指标</w:t>
            </w:r>
          </w:p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KPI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二级</w:t>
            </w:r>
          </w:p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权重</w:t>
            </w:r>
          </w:p>
        </w:tc>
        <w:tc>
          <w:tcPr>
            <w:tcW w:w="13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指标</w:t>
            </w:r>
          </w:p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定义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目标值</w:t>
            </w:r>
          </w:p>
        </w:tc>
        <w:tc>
          <w:tcPr>
            <w:tcW w:w="273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评分规则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数据</w:t>
            </w:r>
          </w:p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来源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超额完成</w:t>
            </w:r>
          </w:p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计算规则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季度分解规则</w:t>
            </w:r>
          </w:p>
        </w:tc>
        <w:tc>
          <w:tcPr>
            <w:tcW w:w="12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12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考核约定</w:t>
            </w:r>
          </w:p>
        </w:tc>
      </w:tr>
      <w:tr>
        <w:trPr>
          <w:trHeight w:val="290" w:hRule="atLeast"/>
        </w:trPr>
        <w:tc>
          <w:tcPr>
            <w:tcW w:w="1440" w:type="dxa"/>
            <w:vMerge w:val="restart"/>
            <w:tcBorders>
              <w:top w:val="single" w:sz="8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sz w:val="18"/>
                <w:szCs w:val="18"/>
              </w:rPr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2736" w:type="dxa"/>
            <w:gridSpan w:val="2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1440" w:type="dxa"/>
            <w:vMerge w:val="continue"/>
            <w:tcBorders>
              <w:top w:val="single" w:sz="8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72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2736" w:type="dxa"/>
            <w:gridSpan w:val="2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i/>
                <w:iCs/>
                <w:color w:val="0000FF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440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eastAsia="仿宋_GB2312;Arial Unicode MS" w:cs="宋体;SimSun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eastAsia="仿宋_GB2312;Arial Unicode MS" w:cs="宋体;SimSun" w:ascii="宋体;SimSun" w:hAnsi="宋体;SimSun"/>
                <w:i/>
                <w:iCs/>
                <w:color w:val="0000FF"/>
                <w:sz w:val="18"/>
                <w:szCs w:val="18"/>
              </w:rPr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kern w:val="0"/>
                <w:sz w:val="18"/>
                <w:szCs w:val="18"/>
              </w:rPr>
            </w:pPr>
            <w:r>
              <w:rPr>
                <w:rFonts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kern w:val="0"/>
                <w:sz w:val="18"/>
                <w:szCs w:val="18"/>
              </w:rPr>
            </w:pPr>
            <w:r>
              <w:rPr>
                <w:rFonts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/>
                <w:kern w:val="0"/>
                <w:sz w:val="18"/>
                <w:szCs w:val="18"/>
              </w:rPr>
            </w:pPr>
            <w:r>
              <w:rPr>
                <w:rFonts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kern w:val="0"/>
                <w:sz w:val="18"/>
                <w:szCs w:val="18"/>
              </w:rPr>
            </w:pPr>
            <w:r>
              <w:rPr>
                <w:rFonts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2736" w:type="dxa"/>
            <w:gridSpan w:val="2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440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sz w:val="18"/>
                <w:szCs w:val="18"/>
              </w:rPr>
            </w:r>
          </w:p>
        </w:tc>
        <w:tc>
          <w:tcPr>
            <w:tcW w:w="720" w:type="dxa"/>
            <w:vMerge w:val="continue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;Arial Unicode MS" w:hAnsi="仿宋_GB2312;Arial Unicode MS" w:eastAsia="仿宋_GB2312;Arial Unicode MS" w:cs="宋体;SimSun"/>
                <w:sz w:val="18"/>
                <w:szCs w:val="18"/>
              </w:rPr>
            </w:pPr>
            <w:r>
              <w:rPr>
                <w:rFonts w:eastAsia="仿宋_GB2312;Arial Unicode MS" w:cs="宋体;SimSun" w:ascii="仿宋_GB2312;Arial Unicode MS" w:hAnsi="仿宋_GB2312;Arial Unicode MS"/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eastAsia="仿宋_GB2312;Arial Unicode MS" w:cs="宋体;SimSun"/>
                <w:kern w:val="0"/>
                <w:sz w:val="18"/>
                <w:szCs w:val="18"/>
              </w:rPr>
            </w:pPr>
            <w:r>
              <w:rPr>
                <w:rFonts w:eastAsia="仿宋_GB2312;Arial Unicode MS" w:cs="宋体;SimSun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kern w:val="0"/>
                <w:sz w:val="18"/>
                <w:szCs w:val="18"/>
              </w:rPr>
            </w:pPr>
            <w:r>
              <w:rPr>
                <w:rFonts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2736" w:type="dxa"/>
            <w:gridSpan w:val="2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/>
                <w:sz w:val="18"/>
                <w:szCs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/>
                <w:color w:val="0000FF"/>
                <w:sz w:val="18"/>
                <w:szCs w:val="18"/>
              </w:rPr>
            </w:pPr>
            <w:r>
              <w:rPr>
                <w:rFonts w:ascii="宋体;SimSun" w:hAnsi="宋体;SimSun"/>
                <w:color w:val="0000FF"/>
                <w:sz w:val="18"/>
                <w:szCs w:val="18"/>
              </w:rPr>
            </w:r>
          </w:p>
        </w:tc>
      </w:tr>
      <w:tr>
        <w:trPr>
          <w:trHeight w:val="325" w:hRule="atLeast"/>
        </w:trPr>
        <w:tc>
          <w:tcPr>
            <w:tcW w:w="216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绩效考核约定条款</w:t>
            </w:r>
          </w:p>
        </w:tc>
        <w:tc>
          <w:tcPr>
            <w:tcW w:w="1242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楷体_GB2312;Arial Unicode MS" w:hAnsi="楷体_GB2312;Arial Unicode MS" w:eastAsia="楷体_GB2312;Arial Unicode MS" w:cs="宋体;SimSun"/>
                <w:i/>
                <w:i/>
                <w:iCs/>
                <w:color w:val="0000FF"/>
              </w:rPr>
            </w:pPr>
            <w:r>
              <w:rPr>
                <w:rFonts w:ascii="楷体_GB2312;Arial Unicode MS" w:hAnsi="楷体_GB2312;Arial Unicode MS" w:cs="楷体_GB2312;Arial Unicode MS" w:eastAsia="楷体_GB2312;Arial Unicode MS"/>
              </w:rPr>
              <w:t>（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1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）考核变更约定：所有考核指标调整必须经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***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认可方生效并需签署新的考核任务书，自行调整无效。</w:t>
            </w:r>
          </w:p>
        </w:tc>
      </w:tr>
      <w:tr>
        <w:trPr>
          <w:trHeight w:val="291" w:hRule="atLeast"/>
        </w:trPr>
        <w:tc>
          <w:tcPr>
            <w:tcW w:w="216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eastAsia="楷体_GB2312;Arial Unicode MS" w:cs="宋体;SimSun"/>
                <w:i/>
                <w:i/>
                <w:iCs/>
                <w:color w:val="0000FF"/>
              </w:rPr>
            </w:pPr>
            <w:r>
              <w:rPr>
                <w:rFonts w:eastAsia="楷体_GB2312;Arial Unicode MS" w:cs="宋体;SimSun" w:ascii="宋体;SimSun" w:hAnsi="宋体;SimSun"/>
                <w:i/>
                <w:iCs/>
                <w:color w:val="0000FF"/>
              </w:rPr>
            </w:r>
          </w:p>
        </w:tc>
        <w:tc>
          <w:tcPr>
            <w:tcW w:w="12420" w:type="dxa"/>
            <w:gridSpan w:val="11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楷体_GB2312;Arial Unicode MS" w:hAnsi="楷体_GB2312;Arial Unicode MS" w:eastAsia="楷体_GB2312;Arial Unicode MS" w:cs="宋体;SimSun"/>
              </w:rPr>
            </w:pPr>
            <w:r>
              <w:rPr>
                <w:rFonts w:ascii="楷体_GB2312;Arial Unicode MS" w:hAnsi="楷体_GB2312;Arial Unicode MS" w:cs="楷体_GB2312;Arial Unicode MS" w:eastAsia="楷体_GB2312;Arial Unicode MS"/>
              </w:rPr>
              <w:t>（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2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）业绩超额完成约定：对于超额完成部分，封顶分数为正常分数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200%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（或者上不封顶）；</w:t>
            </w:r>
          </w:p>
        </w:tc>
      </w:tr>
      <w:tr>
        <w:trPr>
          <w:trHeight w:val="50" w:hRule="atLeast"/>
        </w:trPr>
        <w:tc>
          <w:tcPr>
            <w:tcW w:w="216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eastAsia="楷体_GB2312;Arial Unicode MS" w:cs="宋体;SimSun"/>
              </w:rPr>
            </w:pPr>
            <w:r>
              <w:rPr>
                <w:rFonts w:eastAsia="楷体_GB2312;Arial Unicode MS" w:cs="宋体;SimSun" w:ascii="宋体;SimSun" w:hAnsi="宋体;SimSun"/>
              </w:rPr>
            </w:r>
          </w:p>
        </w:tc>
        <w:tc>
          <w:tcPr>
            <w:tcW w:w="12420" w:type="dxa"/>
            <w:gridSpan w:val="11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楷体_GB2312;Arial Unicode MS" w:hAnsi="楷体_GB2312;Arial Unicode MS" w:eastAsia="楷体_GB2312;Arial Unicode MS" w:cs="宋体;SimSun"/>
              </w:rPr>
            </w:pPr>
            <w:r>
              <w:rPr>
                <w:rFonts w:ascii="楷体_GB2312;Arial Unicode MS" w:hAnsi="楷体_GB2312;Arial Unicode MS" w:cs="楷体_GB2312;Arial Unicode MS" w:eastAsia="楷体_GB2312;Arial Unicode MS"/>
              </w:rPr>
              <w:t>（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3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）年度考核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51-59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分次年薪酬下调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30%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、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50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分以下次年薪酬下调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50%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，年度考评低于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60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分自动免职。</w:t>
            </w:r>
          </w:p>
        </w:tc>
      </w:tr>
      <w:tr>
        <w:trPr>
          <w:trHeight w:val="450" w:hRule="atLeast"/>
        </w:trPr>
        <w:tc>
          <w:tcPr>
            <w:tcW w:w="216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eastAsia="楷体_GB2312;Arial Unicode MS" w:cs="宋体;SimSun"/>
              </w:rPr>
            </w:pPr>
            <w:r>
              <w:rPr>
                <w:rFonts w:eastAsia="楷体_GB2312;Arial Unicode MS" w:cs="宋体;SimSun" w:ascii="宋体;SimSun" w:hAnsi="宋体;SimSun"/>
              </w:rPr>
            </w:r>
          </w:p>
        </w:tc>
        <w:tc>
          <w:tcPr>
            <w:tcW w:w="12420" w:type="dxa"/>
            <w:gridSpan w:val="11"/>
            <w:tcBorders>
              <w:top w:val="single" w:sz="6" w:space="0" w:color="000000"/>
              <w:start w:val="single" w:sz="8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楷体_GB2312;Arial Unicode MS" w:hAnsi="楷体_GB2312;Arial Unicode MS" w:eastAsia="楷体_GB2312;Arial Unicode MS" w:cs="宋体;SimSun"/>
              </w:rPr>
            </w:pPr>
            <w:r>
              <w:rPr>
                <w:rFonts w:ascii="楷体_GB2312;Arial Unicode MS" w:hAnsi="楷体_GB2312;Arial Unicode MS" w:cs="楷体_GB2312;Arial Unicode MS" w:eastAsia="楷体_GB2312;Arial Unicode MS"/>
              </w:rPr>
              <w:t>（</w:t>
            </w:r>
            <w:r>
              <w:rPr>
                <w:rFonts w:eastAsia="楷体_GB2312;Arial Unicode MS" w:cs="楷体_GB2312;Arial Unicode MS" w:ascii="楷体_GB2312;Arial Unicode MS" w:hAnsi="楷体_GB2312;Arial Unicode MS"/>
              </w:rPr>
              <w:t>4</w:t>
            </w:r>
            <w:r>
              <w:rPr>
                <w:rFonts w:ascii="楷体_GB2312;Arial Unicode MS" w:hAnsi="楷体_GB2312;Arial Unicode MS" w:cs="楷体_GB2312;Arial Unicode MS" w:eastAsia="楷体_GB2312;Arial Unicode MS"/>
              </w:rPr>
              <w:t>）为支持本人考核企业需提供的资源或条件：……</w:t>
            </w:r>
          </w:p>
        </w:tc>
      </w:tr>
      <w:tr>
        <w:trPr>
          <w:trHeight w:val="725" w:hRule="atLeast"/>
        </w:trPr>
        <w:tc>
          <w:tcPr>
            <w:tcW w:w="216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 w:cs="宋体;SimSun"/>
              </w:rPr>
              <w:t>考核签字</w:t>
            </w:r>
          </w:p>
        </w:tc>
        <w:tc>
          <w:tcPr>
            <w:tcW w:w="12420" w:type="dxa"/>
            <w:gridSpan w:val="11"/>
            <w:tcBorders>
              <w:top w:val="single" w:sz="12" w:space="0" w:color="000000"/>
              <w:start w:val="single" w:sz="8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楷体_GB2312;Arial Unicode MS" w:hAnsi="楷体_GB2312;Arial Unicode MS" w:eastAsia="楷体_GB2312;Arial Unicode MS" w:cs="宋体;SimSun"/>
              </w:rPr>
            </w:pPr>
            <w:r>
              <w:rPr>
                <w:rFonts w:ascii="楷体_GB2312;Arial Unicode MS" w:hAnsi="楷体_GB2312;Arial Unicode MS" w:cs="楷体_GB2312;Arial Unicode MS" w:eastAsia="楷体_GB2312;Arial Unicode MS"/>
              </w:rPr>
              <w:t>本人已经认真阅读《年度绩效考核任务书》并且充分理解各项考核指标内容，愿意接受公司的考核并且在此郑重签字确认。</w:t>
            </w:r>
          </w:p>
          <w:p>
            <w:pPr>
              <w:pStyle w:val="Normal"/>
              <w:ind w:firstLine="1655"/>
              <w:rPr>
                <w:rFonts w:ascii="黑体;SimHei" w:hAnsi="黑体;SimHei" w:eastAsia="黑体;SimHei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;SimSun" w:hAnsi="宋体;SimSun" w:cs="宋体;SimSun"/>
              </w:rPr>
              <w:t>被考核人员（签字）：</w:t>
            </w:r>
            <w:r>
              <w:rPr>
                <w:rFonts w:ascii="宋体;SimSun" w:hAnsi="宋体;SimSun" w:cs="宋体;SimSun"/>
                <w:u w:val="single"/>
              </w:rPr>
              <w:t xml:space="preserve">                  </w:t>
            </w:r>
            <w:r>
              <w:rPr>
                <w:rFonts w:ascii="宋体;SimSun" w:hAnsi="宋体;SimSun" w:cs="宋体;SimSun"/>
              </w:rPr>
              <w:t xml:space="preserve">  </w:t>
            </w:r>
            <w:r>
              <w:rPr>
                <w:rFonts w:ascii="宋体;SimSun" w:hAnsi="宋体;SimSun" w:cs="宋体;SimSun"/>
              </w:rPr>
              <w:t>签定日期：</w:t>
            </w:r>
            <w:r>
              <w:rPr>
                <w:rFonts w:cs="宋体;SimSun" w:ascii="宋体;SimSun" w:hAnsi="宋体;SimSun"/>
              </w:rPr>
              <w:t>20**</w:t>
            </w:r>
            <w:r>
              <w:rPr>
                <w:rFonts w:ascii="宋体;SimSun" w:hAnsi="宋体;SimSun" w:cs="宋体;SimSun"/>
              </w:rPr>
              <w:t>年</w:t>
            </w:r>
            <w:r>
              <w:rPr>
                <w:rFonts w:ascii="宋体;SimSun" w:hAnsi="宋体;SimSun" w:cs="宋体;SimSun"/>
              </w:rPr>
              <w:t xml:space="preserve">   </w:t>
            </w:r>
            <w:r>
              <w:rPr>
                <w:rFonts w:ascii="宋体;SimSun" w:hAnsi="宋体;SimSun" w:cs="宋体;SimSun"/>
              </w:rPr>
              <w:t>月</w:t>
            </w:r>
            <w:r>
              <w:rPr>
                <w:rFonts w:ascii="宋体;SimSun" w:hAnsi="宋体;SimSun" w:cs="宋体;SimSun"/>
              </w:rPr>
              <w:t xml:space="preserve">   </w:t>
            </w:r>
            <w:r>
              <w:rPr>
                <w:rFonts w:ascii="宋体;SimSun" w:hAnsi="宋体;SimSun" w:cs="宋体;SimSun"/>
              </w:rPr>
              <w:t>日</w:t>
            </w:r>
          </w:p>
        </w:tc>
      </w:tr>
    </w:tbl>
    <w:p>
      <w:pPr>
        <w:pStyle w:val="Normal"/>
        <w:rPr/>
      </w:pPr>
      <w:r>
        <w:rPr>
          <w:rFonts w:ascii="楷体_GB2312;Arial Unicode MS" w:hAnsi="楷体_GB2312;Arial Unicode MS" w:cs="楷体_GB2312;Arial Unicode MS" w:eastAsia="楷体_GB2312;Arial Unicode MS"/>
        </w:rPr>
        <w:t>【提示】上表请根据实际管理需要做完善。</w:t>
      </w:r>
    </w:p>
    <w:p>
      <w:pPr>
        <w:pStyle w:val="Normal"/>
        <w:shd w:fill="E6E6E6" w:val="clear"/>
        <w:ind w:firstLine="437"/>
        <w:rPr/>
      </w:pPr>
      <w:r>
        <w:rPr/>
      </w:r>
    </w:p>
    <w:p>
      <w:pPr>
        <w:pStyle w:val="Normal"/>
        <w:spacing w:lineRule="auto" w:line="360"/>
        <w:ind w:firstLine="420"/>
        <w:rPr>
          <w:rFonts w:ascii="楷体_GB2312;Arial Unicode MS" w:hAnsi="楷体_GB2312;Arial Unicode MS" w:eastAsia="楷体_GB2312;Arial Unicode MS"/>
          <w:bCs/>
          <w:color w:val="FFCC00"/>
          <w:kern w:val="2"/>
        </w:rPr>
      </w:pPr>
      <w:r>
        <w:rPr>
          <w:rFonts w:eastAsia="楷体_GB2312;Arial Unicode MS" w:ascii="楷体_GB2312;Arial Unicode MS" w:hAnsi="楷体_GB2312;Arial Unicode MS"/>
          <w:color w:val="FFCC00"/>
        </w:rPr>
        <w:t>&gt;&gt;&gt;</w:t>
      </w:r>
      <w:r>
        <w:rPr>
          <w:rFonts w:ascii="楷体_GB2312;Arial Unicode MS" w:hAnsi="楷体_GB2312;Arial Unicode MS" w:eastAsia="楷体_GB2312;Arial Unicode MS"/>
          <w:color w:val="FFCC00"/>
        </w:rPr>
        <w:t>本模板参考贺清君最新出版图书《</w:t>
      </w:r>
      <w:r>
        <w:rPr>
          <w:rFonts w:ascii="楷体_GB2312;Arial Unicode MS" w:hAnsi="楷体_GB2312;Arial Unicode MS" w:eastAsia="楷体_GB2312;Arial Unicode MS"/>
          <w:bCs/>
          <w:color w:val="FFCC00"/>
          <w:kern w:val="2"/>
        </w:rPr>
        <w:t>绩效考核与薪酬激励整体解决方案》编制，请您结合企业实际管理现状完善后使用。</w:t>
      </w:r>
    </w:p>
    <w:p>
      <w:pPr>
        <w:pStyle w:val="Normal"/>
        <w:shd w:fill="E6E6E6" w:val="clear"/>
        <w:ind w:firstLine="437"/>
        <w:rPr>
          <w:rFonts w:ascii="楷体_GB2312;Arial Unicode MS" w:hAnsi="楷体_GB2312;Arial Unicode MS" w:eastAsia="楷体_GB2312;Arial Unicode MS"/>
          <w:bCs/>
          <w:color w:val="FFCC00"/>
          <w:kern w:val="2"/>
        </w:rPr>
      </w:pPr>
      <w:r>
        <w:rPr>
          <w:rFonts w:eastAsia="楷体_GB2312;Arial Unicode MS" w:ascii="楷体_GB2312;Arial Unicode MS" w:hAnsi="楷体_GB2312;Arial Unicode MS"/>
          <w:bCs/>
          <w:color w:val="FFCC00"/>
          <w:kern w:val="2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headerReference w:type="even" r:id="rId6"/>
      <w:footerReference w:type="default" r:id="rId7"/>
      <w:footerReference w:type="first" r:id="rId8"/>
      <w:footerReference w:type="even" r:id="rId9"/>
      <w:type w:val="nextPage"/>
      <w:pgSz w:orient="landscape" w:w="16838" w:h="11906"/>
      <w:pgMar w:left="1440" w:right="1440" w:header="0" w:top="1797" w:footer="0" w:bottom="179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华文中宋">
    <w:charset w:val="86"/>
    <w:family w:val="auto"/>
    <w:pitch w:val="variable"/>
  </w:font>
  <w:font w:name="黑体">
    <w:altName w:val="SimHei"/>
    <w:charset w:val="86"/>
    <w:family w:val="auto"/>
    <w:pitch w:val="variable"/>
  </w:font>
  <w:font w:name="楷体_GB2312">
    <w:altName w:val="Arial Unicode MS"/>
    <w:charset w:val="86"/>
    <w:family w:val="modern"/>
    <w:pitch w:val="default"/>
  </w:font>
  <w:font w:name="宋体">
    <w:altName w:val="SimSun"/>
    <w:charset w:val="86"/>
    <w:family w:val="auto"/>
    <w:pitch w:val="variable"/>
  </w:font>
  <w:font w:name="仿宋_GB2312">
    <w:altName w:val="Arial Unicode MS"/>
    <w:charset w:val="86"/>
    <w:family w:val="modern"/>
    <w:pitch w:val="default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1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2014-08-02T09:43:00Z</dcterms:created>
  <dc:creator>zctt</dc:creator>
  <dc:description/>
  <cp:keywords> </cp:keywords>
  <dc:language>en-US</dc:language>
  <cp:lastModifiedBy>zctt</cp:lastModifiedBy>
  <dcterms:modified xsi:type="dcterms:W3CDTF">2014-08-02T09:43:00Z</dcterms:modified>
  <cp:revision>1</cp:revision>
  <dc:subject/>
  <dc:title>年度绩效考核双向责任书</dc:title>
</cp:coreProperties>
</file>