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40"/>
        <w:jc w:val="center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jc w:val="center"/>
        <w:rPr>
          <w:rFonts w:ascii="宋体" w:hAnsi="宋体" w:cs="宋体"/>
          <w:b/>
          <w:b/>
          <w:sz w:val="36"/>
          <w:szCs w:val="36"/>
        </w:rPr>
      </w:pPr>
      <w:r>
        <w:rPr>
          <w:rFonts w:cs="宋体" w:ascii="宋体" w:hAnsi="宋体"/>
          <w:b/>
          <w:sz w:val="36"/>
          <w:szCs w:val="36"/>
        </w:rPr>
        <w:t>20</w:t>
      </w:r>
      <w:r>
        <w:rPr>
          <w:rFonts w:cs="宋体" w:ascii="宋体" w:hAnsi="宋体"/>
          <w:b/>
          <w:sz w:val="36"/>
          <w:szCs w:val="36"/>
          <w:lang w:val="en-US" w:eastAsia="zh-CN"/>
        </w:rPr>
        <w:t>20</w:t>
      </w:r>
      <w:r>
        <w:rPr>
          <w:rFonts w:ascii="宋体" w:hAnsi="宋体" w:cs="宋体"/>
          <w:b/>
          <w:sz w:val="36"/>
          <w:szCs w:val="36"/>
        </w:rPr>
        <w:t>年生产总监目标责任协议书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  <w:t xml:space="preserve"> </w:t>
      </w:r>
      <w:r>
        <w:rPr>
          <w:rFonts w:cs="宋体" w:ascii="宋体" w:hAnsi="宋体"/>
          <w:sz w:val="24"/>
          <w:szCs w:val="24"/>
        </w:rPr>
        <w:t xml:space="preserve"> </w:t>
      </w:r>
      <w:r>
        <w:rPr>
          <w:rFonts w:ascii="宋体" w:hAnsi="宋体" w:cs="宋体"/>
          <w:b/>
          <w:sz w:val="24"/>
          <w:szCs w:val="24"/>
        </w:rPr>
        <w:t>甲方：</w:t>
      </w:r>
      <w:r>
        <w:rPr>
          <w:rFonts w:cs="宋体" w:ascii="宋体" w:hAnsi="宋体"/>
          <w:b/>
          <w:sz w:val="24"/>
          <w:szCs w:val="24"/>
        </w:rPr>
        <w:t>XX</w:t>
      </w:r>
      <w:r>
        <w:rPr>
          <w:rFonts w:ascii="宋体" w:hAnsi="宋体" w:cs="宋体"/>
          <w:b/>
          <w:sz w:val="24"/>
          <w:szCs w:val="24"/>
        </w:rPr>
        <w:t>公司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</w:t>
      </w:r>
      <w:r>
        <w:rPr>
          <w:rFonts w:ascii="宋体" w:hAnsi="宋体" w:cs="宋体"/>
          <w:b/>
          <w:sz w:val="24"/>
          <w:szCs w:val="24"/>
        </w:rPr>
        <w:t>乙方：</w:t>
      </w:r>
      <w:r>
        <w:rPr>
          <w:rFonts w:cs="宋体" w:ascii="宋体" w:hAnsi="宋体"/>
          <w:b/>
          <w:sz w:val="24"/>
          <w:szCs w:val="24"/>
        </w:rPr>
        <w:t>XXX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  <w:t xml:space="preserve">   </w:t>
      </w:r>
      <w:r>
        <w:rPr>
          <w:rFonts w:ascii="宋体" w:hAnsi="宋体" w:cs="宋体"/>
          <w:sz w:val="24"/>
          <w:szCs w:val="24"/>
        </w:rPr>
        <w:t>为加强公司人力资源管理，提高公司高管人员积极性，明确甲乙双方劳动关系，经甲乙双方友好协商，特签订本目标责任协议书。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一、聘用岗位和时间</w:t>
      </w:r>
    </w:p>
    <w:p>
      <w:pPr>
        <w:pStyle w:val="Normal"/>
        <w:spacing w:lineRule="exact" w:line="440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甲方聘用乙方担任甲方</w:t>
      </w:r>
      <w:r>
        <w:rPr>
          <w:rFonts w:ascii="宋体" w:hAnsi="宋体" w:cs="宋体"/>
          <w:sz w:val="24"/>
          <w:szCs w:val="24"/>
          <w:u w:val="single"/>
        </w:rPr>
        <w:t xml:space="preserve">  生产总监  </w:t>
      </w:r>
      <w:r>
        <w:rPr>
          <w:rFonts w:ascii="宋体" w:hAnsi="宋体" w:cs="宋体"/>
          <w:sz w:val="24"/>
          <w:szCs w:val="24"/>
        </w:rPr>
        <w:t>职务，全面负责</w:t>
      </w:r>
      <w:r>
        <w:rPr>
          <w:rFonts w:ascii="宋体" w:hAnsi="宋体" w:cs="宋体"/>
          <w:sz w:val="24"/>
          <w:szCs w:val="24"/>
          <w:u w:val="single"/>
        </w:rPr>
        <w:t xml:space="preserve"> 企业生产管理        </w:t>
      </w:r>
      <w:r>
        <w:rPr>
          <w:rFonts w:ascii="宋体" w:hAnsi="宋体" w:cs="宋体"/>
          <w:sz w:val="24"/>
          <w:szCs w:val="24"/>
        </w:rPr>
        <w:t>工作，聘任、考核时间为</w:t>
      </w:r>
      <w:r>
        <w:rPr>
          <w:rFonts w:cs="宋体" w:ascii="宋体" w:hAnsi="宋体"/>
          <w:sz w:val="24"/>
          <w:szCs w:val="24"/>
          <w:u w:val="single"/>
        </w:rPr>
        <w:t>20</w:t>
      </w:r>
      <w:r>
        <w:rPr>
          <w:rFonts w:cs="宋体" w:ascii="宋体" w:hAnsi="宋体"/>
          <w:sz w:val="24"/>
          <w:szCs w:val="24"/>
          <w:u w:val="single"/>
          <w:lang w:val="en-US" w:eastAsia="zh-CN"/>
        </w:rPr>
        <w:t>20</w:t>
      </w:r>
      <w:r>
        <w:rPr>
          <w:rFonts w:ascii="宋体" w:hAnsi="宋体" w:cs="宋体"/>
          <w:sz w:val="24"/>
          <w:szCs w:val="24"/>
          <w:u w:val="single"/>
        </w:rPr>
        <w:t>年</w:t>
      </w:r>
      <w:r>
        <w:rPr>
          <w:rFonts w:cs="宋体" w:ascii="宋体" w:hAnsi="宋体"/>
          <w:sz w:val="24"/>
          <w:szCs w:val="24"/>
          <w:u w:val="single"/>
        </w:rPr>
        <w:t>1</w:t>
      </w:r>
      <w:r>
        <w:rPr>
          <w:rFonts w:ascii="宋体" w:hAnsi="宋体" w:cs="宋体"/>
          <w:sz w:val="24"/>
          <w:szCs w:val="24"/>
          <w:u w:val="single"/>
        </w:rPr>
        <w:t>月</w:t>
      </w:r>
      <w:r>
        <w:rPr>
          <w:rFonts w:cs="宋体" w:ascii="宋体" w:hAnsi="宋体"/>
          <w:sz w:val="24"/>
          <w:szCs w:val="24"/>
          <w:u w:val="single"/>
        </w:rPr>
        <w:t>1</w:t>
      </w:r>
      <w:r>
        <w:rPr>
          <w:rFonts w:ascii="宋体" w:hAnsi="宋体" w:cs="宋体"/>
          <w:sz w:val="24"/>
          <w:szCs w:val="24"/>
          <w:u w:val="single"/>
        </w:rPr>
        <w:t>日</w:t>
      </w:r>
      <w:r>
        <w:rPr>
          <w:rFonts w:ascii="宋体" w:hAnsi="宋体" w:cs="宋体"/>
          <w:sz w:val="24"/>
          <w:szCs w:val="24"/>
        </w:rPr>
        <w:t>至</w:t>
      </w:r>
      <w:r>
        <w:rPr>
          <w:rFonts w:cs="宋体" w:ascii="宋体" w:hAnsi="宋体"/>
          <w:sz w:val="24"/>
          <w:szCs w:val="24"/>
          <w:u w:val="single"/>
        </w:rPr>
        <w:t>20</w:t>
      </w:r>
      <w:r>
        <w:rPr>
          <w:rFonts w:cs="宋体" w:ascii="宋体" w:hAnsi="宋体"/>
          <w:sz w:val="24"/>
          <w:szCs w:val="24"/>
          <w:u w:val="single"/>
          <w:lang w:val="en-US" w:eastAsia="zh-CN"/>
        </w:rPr>
        <w:t>20</w:t>
      </w:r>
      <w:r>
        <w:rPr>
          <w:rFonts w:ascii="宋体" w:hAnsi="宋体" w:cs="宋体"/>
          <w:sz w:val="24"/>
          <w:szCs w:val="24"/>
          <w:u w:val="single"/>
        </w:rPr>
        <w:t>年</w:t>
      </w:r>
      <w:r>
        <w:rPr>
          <w:rFonts w:cs="宋体" w:ascii="宋体" w:hAnsi="宋体"/>
          <w:sz w:val="24"/>
          <w:szCs w:val="24"/>
          <w:u w:val="single"/>
        </w:rPr>
        <w:t>12</w:t>
      </w:r>
      <w:r>
        <w:rPr>
          <w:rFonts w:ascii="宋体" w:hAnsi="宋体" w:cs="宋体"/>
          <w:sz w:val="24"/>
          <w:szCs w:val="24"/>
          <w:u w:val="single"/>
        </w:rPr>
        <w:t>月</w:t>
      </w:r>
      <w:r>
        <w:rPr>
          <w:rFonts w:cs="宋体" w:ascii="宋体" w:hAnsi="宋体"/>
          <w:sz w:val="24"/>
          <w:szCs w:val="24"/>
          <w:u w:val="single"/>
        </w:rPr>
        <w:t>31</w:t>
      </w:r>
      <w:r>
        <w:rPr>
          <w:rFonts w:ascii="宋体" w:hAnsi="宋体" w:cs="宋体"/>
          <w:sz w:val="24"/>
          <w:szCs w:val="24"/>
          <w:u w:val="single"/>
        </w:rPr>
        <w:t>日</w:t>
      </w:r>
      <w:r>
        <w:rPr>
          <w:rFonts w:ascii="宋体" w:hAnsi="宋体" w:cs="宋体"/>
          <w:sz w:val="24"/>
          <w:szCs w:val="24"/>
        </w:rPr>
        <w:t xml:space="preserve">，考核结束后，双方根据实际情况，签订下年度目标责任协议书。 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二、乙方的主要岗位职责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）负责按公司发展战略，制定企业生产计划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）负责依据生产计划，按要求在规定时间内保质保量地完成生产任务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）负责对生产成本进行预算与控制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>）负责生产车间的安全生产，确保无安全隐患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5</w:t>
      </w:r>
      <w:r>
        <w:rPr>
          <w:rFonts w:ascii="宋体" w:hAnsi="宋体" w:cs="宋体"/>
          <w:sz w:val="24"/>
          <w:szCs w:val="24"/>
        </w:rPr>
        <w:t>）负责建立及完善生产管理制度、生产流程管控体系，并监督实施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6</w:t>
      </w:r>
      <w:r>
        <w:rPr>
          <w:rFonts w:ascii="宋体" w:hAnsi="宋体" w:cs="宋体"/>
          <w:sz w:val="24"/>
          <w:szCs w:val="24"/>
        </w:rPr>
        <w:t>）负责生产团队的打造，保证编制要求，建立人才培养机制及人员晋升体系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7</w:t>
      </w:r>
      <w:r>
        <w:rPr>
          <w:rFonts w:ascii="宋体" w:hAnsi="宋体" w:cs="宋体"/>
          <w:sz w:val="24"/>
          <w:szCs w:val="24"/>
        </w:rPr>
        <w:t>）负责对下属人员的考核，并提出奖惩方案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8</w:t>
      </w:r>
      <w:r>
        <w:rPr>
          <w:rFonts w:ascii="宋体" w:hAnsi="宋体" w:cs="宋体"/>
          <w:sz w:val="24"/>
          <w:szCs w:val="24"/>
        </w:rPr>
        <w:t>）做好生产部各部门间的协调工作，保证各部门工作顺畅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9</w:t>
      </w:r>
      <w:r>
        <w:rPr>
          <w:rFonts w:ascii="宋体" w:hAnsi="宋体" w:cs="宋体"/>
          <w:sz w:val="24"/>
          <w:szCs w:val="24"/>
        </w:rPr>
        <w:t>）做好</w:t>
      </w:r>
      <w:r>
        <w:rPr>
          <w:rFonts w:cs="宋体" w:ascii="宋体" w:hAnsi="宋体"/>
          <w:sz w:val="24"/>
          <w:szCs w:val="24"/>
        </w:rPr>
        <w:t>5S</w:t>
      </w:r>
      <w:r>
        <w:rPr>
          <w:rFonts w:ascii="宋体" w:hAnsi="宋体" w:cs="宋体"/>
          <w:sz w:val="24"/>
          <w:szCs w:val="24"/>
        </w:rPr>
        <w:t>管理工作，保证各项要求达标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三、乙方的薪酬结构及收益说明</w:t>
      </w:r>
    </w:p>
    <w:p>
      <w:pPr>
        <w:pStyle w:val="Normal"/>
        <w:spacing w:lineRule="exact" w:line="440"/>
        <w:ind w:start="480" w:hanging="48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、乙方工资结构为</w:t>
      </w:r>
      <w:r>
        <w:rPr>
          <w:rFonts w:ascii="宋体" w:hAnsi="宋体" w:cs="宋体"/>
          <w:color w:val="FF0000"/>
          <w:sz w:val="24"/>
          <w:szCs w:val="24"/>
        </w:rPr>
        <w:t>“固定工资</w:t>
      </w:r>
      <w:r>
        <w:rPr>
          <w:rFonts w:cs="宋体" w:ascii="宋体" w:hAnsi="宋体"/>
          <w:color w:val="FF0000"/>
          <w:sz w:val="24"/>
          <w:szCs w:val="24"/>
        </w:rPr>
        <w:t>+</w:t>
      </w:r>
      <w:r>
        <w:rPr>
          <w:rFonts w:ascii="宋体" w:hAnsi="宋体" w:cs="宋体"/>
          <w:color w:val="FF0000"/>
          <w:sz w:val="24"/>
          <w:szCs w:val="24"/>
        </w:rPr>
        <w:t>绩效工资</w:t>
      </w:r>
      <w:r>
        <w:rPr>
          <w:rFonts w:cs="宋体" w:ascii="宋体" w:hAnsi="宋体"/>
          <w:color w:val="FF0000"/>
          <w:sz w:val="24"/>
          <w:szCs w:val="24"/>
        </w:rPr>
        <w:t>+</w:t>
      </w:r>
      <w:r>
        <w:rPr>
          <w:rFonts w:ascii="宋体" w:hAnsi="宋体" w:cs="宋体"/>
          <w:color w:val="FF0000"/>
          <w:sz w:val="24"/>
          <w:szCs w:val="24"/>
        </w:rPr>
        <w:t>分红</w:t>
      </w:r>
      <w:r>
        <w:rPr>
          <w:rFonts w:cs="宋体" w:ascii="宋体" w:hAnsi="宋体"/>
          <w:color w:val="FF0000"/>
          <w:sz w:val="24"/>
          <w:szCs w:val="24"/>
        </w:rPr>
        <w:t>+</w:t>
      </w:r>
      <w:r>
        <w:rPr>
          <w:rFonts w:ascii="宋体" w:hAnsi="宋体" w:cs="宋体"/>
          <w:color w:val="FF0000"/>
          <w:sz w:val="24"/>
          <w:szCs w:val="24"/>
        </w:rPr>
        <w:t>超产奖”（参考）</w:t>
      </w:r>
      <w:r>
        <w:rPr>
          <w:rFonts w:ascii="宋体" w:hAnsi="宋体" w:cs="宋体"/>
          <w:sz w:val="24"/>
          <w:szCs w:val="24"/>
        </w:rPr>
        <w:t>。其中，</w:t>
      </w:r>
    </w:p>
    <w:p>
      <w:pPr>
        <w:pStyle w:val="Normal"/>
        <w:spacing w:lineRule="exact" w:line="440"/>
        <w:ind w:start="420" w:hanging="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固定工资为</w:t>
      </w:r>
      <w:r>
        <w:rPr>
          <w:rFonts w:ascii="宋体" w:hAnsi="宋体" w:cs="宋体"/>
          <w:sz w:val="24"/>
          <w:szCs w:val="24"/>
          <w:u w:val="single"/>
        </w:rPr>
        <w:t xml:space="preserve">        </w:t>
      </w:r>
      <w:r>
        <w:rPr>
          <w:rFonts w:ascii="宋体" w:hAnsi="宋体" w:cs="宋体"/>
          <w:sz w:val="24"/>
          <w:szCs w:val="24"/>
        </w:rPr>
        <w:t>；绩效工资为</w:t>
      </w:r>
      <w:r>
        <w:rPr>
          <w:rFonts w:ascii="宋体" w:hAnsi="宋体" w:cs="宋体"/>
          <w:sz w:val="24"/>
          <w:szCs w:val="24"/>
          <w:u w:val="single"/>
        </w:rPr>
        <w:t xml:space="preserve">        </w:t>
      </w:r>
      <w:r>
        <w:rPr>
          <w:rFonts w:ascii="宋体" w:hAnsi="宋体" w:cs="宋体"/>
          <w:sz w:val="24"/>
          <w:szCs w:val="24"/>
        </w:rPr>
        <w:t xml:space="preserve"> ；分红：</w:t>
      </w:r>
      <w:r>
        <w:rPr>
          <w:rFonts w:ascii="宋体" w:hAnsi="宋体" w:cs="宋体"/>
          <w:sz w:val="24"/>
          <w:szCs w:val="24"/>
          <w:u w:val="single"/>
        </w:rPr>
        <w:t xml:space="preserve">         </w:t>
      </w:r>
      <w:r>
        <w:rPr>
          <w:rFonts w:ascii="宋体" w:hAnsi="宋体" w:cs="宋体"/>
          <w:sz w:val="24"/>
          <w:szCs w:val="24"/>
        </w:rPr>
        <w:t>；</w:t>
      </w:r>
    </w:p>
    <w:p>
      <w:pPr>
        <w:pStyle w:val="Normal"/>
        <w:spacing w:lineRule="exact" w:line="440"/>
        <w:ind w:start="420" w:hanging="0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超产奖：</w:t>
      </w:r>
      <w:r>
        <w:rPr>
          <w:rFonts w:ascii="宋体" w:hAnsi="宋体" w:cs="宋体"/>
          <w:sz w:val="24"/>
          <w:szCs w:val="24"/>
          <w:u w:val="single"/>
        </w:rPr>
        <w:t xml:space="preserve">          </w:t>
      </w:r>
      <w:r>
        <w:rPr>
          <w:rFonts w:ascii="宋体" w:hAnsi="宋体" w:cs="宋体"/>
          <w:sz w:val="24"/>
          <w:szCs w:val="24"/>
        </w:rPr>
        <w:t>。</w:t>
      </w:r>
      <w:r>
        <w:rPr>
          <w:rFonts w:ascii="宋体" w:hAnsi="宋体" w:cs="宋体"/>
          <w:color w:val="FF0000"/>
          <w:sz w:val="24"/>
          <w:szCs w:val="24"/>
        </w:rPr>
        <w:t xml:space="preserve"> 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、收益说明：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1</w:t>
      </w:r>
      <w:r>
        <w:rPr>
          <w:rFonts w:ascii="宋体" w:hAnsi="宋体" w:cs="宋体"/>
          <w:color w:val="FF0000"/>
          <w:sz w:val="24"/>
          <w:szCs w:val="24"/>
        </w:rPr>
        <w:t>）固定工资：与日常职责履行挂钩，具体参照《岗位工作分析表》；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2</w:t>
      </w:r>
      <w:r>
        <w:rPr>
          <w:rFonts w:ascii="宋体" w:hAnsi="宋体" w:cs="宋体"/>
          <w:color w:val="FF0000"/>
          <w:sz w:val="24"/>
          <w:szCs w:val="24"/>
        </w:rPr>
        <w:t>）绩效工资</w:t>
      </w:r>
      <w:r>
        <w:rPr>
          <w:rFonts w:cs="宋体" w:ascii="宋体" w:hAnsi="宋体"/>
          <w:color w:val="FF0000"/>
          <w:sz w:val="24"/>
          <w:szCs w:val="24"/>
        </w:rPr>
        <w:t>:</w:t>
      </w:r>
      <w:r>
        <w:rPr>
          <w:rFonts w:ascii="宋体" w:hAnsi="宋体" w:cs="宋体"/>
          <w:color w:val="FF0000"/>
          <w:sz w:val="24"/>
          <w:szCs w:val="24"/>
        </w:rPr>
        <w:t>与月度绩效考核持钩，具体参照《岗位月度绩效考核表》；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3</w:t>
      </w:r>
      <w:r>
        <w:rPr>
          <w:rFonts w:ascii="宋体" w:hAnsi="宋体" w:cs="宋体"/>
          <w:color w:val="FF0000"/>
          <w:sz w:val="24"/>
          <w:szCs w:val="24"/>
        </w:rPr>
        <w:t xml:space="preserve">）分红：按生产部门核算利润的   </w:t>
      </w:r>
      <w:r>
        <w:rPr>
          <w:rFonts w:cs="宋体" w:ascii="宋体" w:hAnsi="宋体"/>
          <w:color w:val="FF0000"/>
          <w:sz w:val="24"/>
          <w:szCs w:val="24"/>
        </w:rPr>
        <w:t>%</w:t>
      </w:r>
      <w:r>
        <w:rPr>
          <w:rFonts w:ascii="宋体" w:hAnsi="宋体" w:cs="宋体"/>
          <w:color w:val="FF0000"/>
          <w:sz w:val="24"/>
          <w:szCs w:val="24"/>
        </w:rPr>
        <w:t>提取；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5</w:t>
      </w:r>
      <w:r>
        <w:rPr>
          <w:rFonts w:ascii="宋体" w:hAnsi="宋体" w:cs="宋体"/>
          <w:color w:val="FF0000"/>
          <w:sz w:val="24"/>
          <w:szCs w:val="24"/>
        </w:rPr>
        <w:t xml:space="preserve">）超产奖：超额生产部分的   </w:t>
      </w:r>
      <w:r>
        <w:rPr>
          <w:rFonts w:cs="宋体" w:ascii="宋体" w:hAnsi="宋体"/>
          <w:color w:val="FF0000"/>
          <w:sz w:val="24"/>
          <w:szCs w:val="24"/>
        </w:rPr>
        <w:t>%</w:t>
      </w:r>
      <w:r>
        <w:rPr>
          <w:rFonts w:ascii="宋体" w:hAnsi="宋体" w:cs="宋体"/>
          <w:color w:val="FF0000"/>
          <w:sz w:val="24"/>
          <w:szCs w:val="24"/>
        </w:rPr>
        <w:t>；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年终奖金为</w:t>
      </w:r>
      <w:r>
        <w:rPr>
          <w:rFonts w:ascii="宋体" w:hAnsi="宋体" w:cs="宋体"/>
          <w:color w:val="FF0000"/>
          <w:sz w:val="24"/>
          <w:szCs w:val="24"/>
        </w:rPr>
        <w:t>本年度业绩同比上年度业绩超额部分</w:t>
      </w:r>
      <w:r>
        <w:rPr>
          <w:rFonts w:ascii="宋体" w:hAnsi="宋体" w:cs="宋体"/>
          <w:sz w:val="24"/>
          <w:szCs w:val="24"/>
        </w:rPr>
        <w:t>的</w:t>
      </w:r>
      <w:r>
        <w:rPr>
          <w:rFonts w:cs="宋体" w:ascii="宋体" w:hAnsi="宋体"/>
          <w:color w:val="FF0000"/>
          <w:sz w:val="24"/>
          <w:szCs w:val="24"/>
        </w:rPr>
        <w:t>X%</w:t>
      </w:r>
      <w:r>
        <w:rPr>
          <w:rFonts w:ascii="宋体" w:hAnsi="宋体" w:cs="宋体"/>
          <w:sz w:val="24"/>
          <w:szCs w:val="24"/>
        </w:rPr>
        <w:t>，其中超出目标</w:t>
      </w:r>
      <w:r>
        <w:rPr>
          <w:rFonts w:cs="宋体" w:ascii="宋体" w:hAnsi="宋体"/>
          <w:color w:val="FF0000"/>
          <w:sz w:val="24"/>
          <w:szCs w:val="24"/>
        </w:rPr>
        <w:t>X%</w:t>
      </w:r>
      <w:r>
        <w:rPr>
          <w:rFonts w:ascii="宋体" w:hAnsi="宋体" w:cs="宋体"/>
          <w:sz w:val="24"/>
          <w:szCs w:val="24"/>
        </w:rPr>
        <w:t>的，再增发上涨部分的</w:t>
      </w:r>
      <w:r>
        <w:rPr>
          <w:rFonts w:cs="宋体" w:ascii="宋体" w:hAnsi="宋体"/>
          <w:color w:val="FF0000"/>
          <w:sz w:val="24"/>
          <w:szCs w:val="24"/>
        </w:rPr>
        <w:t>X%</w:t>
      </w:r>
      <w:r>
        <w:rPr>
          <w:rFonts w:ascii="宋体" w:hAnsi="宋体" w:cs="宋体"/>
          <w:sz w:val="24"/>
          <w:szCs w:val="24"/>
        </w:rPr>
        <w:t>。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四、乙方全年绩效考核指标与方法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（一）乙方绩效考核表</w:t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3780" w:leader="none"/>
        </w:tabs>
        <w:jc w:val="center"/>
        <w:outlineLvl w:val="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3780" w:leader="none"/>
        </w:tabs>
        <w:jc w:val="center"/>
        <w:outlineLvl w:val="0"/>
        <w:rPr>
          <w:rFonts w:ascii="宋体" w:hAnsi="宋体" w:cs="宋体"/>
          <w:b/>
          <w:b/>
          <w:sz w:val="24"/>
        </w:rPr>
      </w:pPr>
      <w:r>
        <w:rPr>
          <w:rFonts w:cs="宋体" w:ascii="宋体" w:hAnsi="宋体"/>
          <w:b/>
          <w:sz w:val="24"/>
        </w:rPr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3780" w:leader="none"/>
        </w:tabs>
        <w:jc w:val="center"/>
        <w:outlineLvl w:val="0"/>
        <w:rPr>
          <w:rFonts w:ascii="宋体" w:hAnsi="宋体" w:cs="宋体"/>
        </w:rPr>
      </w:pPr>
      <w:r>
        <w:rPr>
          <w:rFonts w:ascii="宋体" w:hAnsi="宋体" w:cs="宋体"/>
          <w:b/>
          <w:sz w:val="24"/>
        </w:rPr>
        <w:t>生产总监考核评分表（年度）</w:t>
      </w:r>
    </w:p>
    <w:p>
      <w:pPr>
        <w:pStyle w:val="Normal"/>
        <w:jc w:val="end"/>
        <w:rPr>
          <w:rFonts w:ascii="黑体" w:hAnsi="黑体" w:eastAsia="黑体" w:cs="黑体"/>
        </w:rPr>
      </w:pPr>
      <w:r>
        <w:rPr>
          <w:rFonts w:ascii="黑体" w:hAnsi="黑体" w:cs="黑体" w:eastAsia="黑体"/>
        </w:rPr>
        <w:t>考核期间：        年   月</w:t>
      </w:r>
    </w:p>
    <w:tbl>
      <w:tblPr>
        <w:tblW w:w="984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2"/>
        <w:gridCol w:w="555"/>
        <w:gridCol w:w="1191"/>
        <w:gridCol w:w="554"/>
        <w:gridCol w:w="531"/>
        <w:gridCol w:w="1199"/>
        <w:gridCol w:w="1290"/>
        <w:gridCol w:w="1465"/>
        <w:gridCol w:w="1113"/>
        <w:gridCol w:w="19"/>
        <w:gridCol w:w="449"/>
        <w:gridCol w:w="10"/>
        <w:gridCol w:w="45"/>
        <w:gridCol w:w="418"/>
        <w:gridCol w:w="26"/>
        <w:gridCol w:w="426"/>
      </w:tblGrid>
      <w:tr>
        <w:trPr>
          <w:trHeight w:val="340" w:hRule="atLeast"/>
          <w:cantSplit w:val="true"/>
        </w:trPr>
        <w:tc>
          <w:tcPr>
            <w:tcW w:w="1107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姓名</w:t>
            </w:r>
          </w:p>
        </w:tc>
        <w:tc>
          <w:tcPr>
            <w:tcW w:w="1745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1730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岗位</w:t>
            </w:r>
          </w:p>
        </w:tc>
        <w:tc>
          <w:tcPr>
            <w:tcW w:w="5261" w:type="dxa"/>
            <w:gridSpan w:val="10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生产总监</w:t>
            </w:r>
          </w:p>
        </w:tc>
      </w:tr>
      <w:tr>
        <w:trPr>
          <w:trHeight w:val="340" w:hRule="atLeast"/>
          <w:cantSplit w:val="true"/>
        </w:trPr>
        <w:tc>
          <w:tcPr>
            <w:tcW w:w="552" w:type="dxa"/>
            <w:vMerge w:val="restart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业</w:t>
            </w:r>
          </w:p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绩</w:t>
            </w:r>
          </w:p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</w:t>
            </w:r>
          </w:p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核</w:t>
            </w:r>
          </w:p>
        </w:tc>
        <w:tc>
          <w:tcPr>
            <w:tcW w:w="555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序号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考核项目</w:t>
            </w:r>
          </w:p>
        </w:tc>
        <w:tc>
          <w:tcPr>
            <w:tcW w:w="531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权重</w:t>
            </w:r>
          </w:p>
        </w:tc>
        <w:tc>
          <w:tcPr>
            <w:tcW w:w="2489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目标值要求</w:t>
            </w:r>
          </w:p>
        </w:tc>
        <w:tc>
          <w:tcPr>
            <w:tcW w:w="2597" w:type="dxa"/>
            <w:gridSpan w:val="3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评分等级</w:t>
            </w:r>
          </w:p>
        </w:tc>
        <w:tc>
          <w:tcPr>
            <w:tcW w:w="1374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得分</w:t>
            </w:r>
          </w:p>
        </w:tc>
      </w:tr>
      <w:tr>
        <w:trPr>
          <w:trHeight w:val="693" w:hRule="atLeast"/>
          <w:cantSplit w:val="true"/>
        </w:trPr>
        <w:tc>
          <w:tcPr>
            <w:tcW w:w="55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5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1745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ind w:start="-5" w:hanging="14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3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Style15"/>
              <w:snapToGrid w:val="false"/>
              <w:jc w:val="end"/>
              <w:rPr>
                <w:rFonts w:ascii="黑体" w:hAnsi="黑体" w:eastAsia="黑体" w:cs="黑体"/>
                <w:bCs w:val="false"/>
                <w:szCs w:val="21"/>
              </w:rPr>
            </w:pPr>
            <w:r>
              <w:rPr>
                <w:rFonts w:eastAsia="黑体" w:cs="黑体" w:ascii="黑体" w:hAnsi="黑体"/>
                <w:bCs w:val="false"/>
                <w:szCs w:val="21"/>
              </w:rPr>
            </w:r>
          </w:p>
        </w:tc>
        <w:tc>
          <w:tcPr>
            <w:tcW w:w="2489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bCs w:val="false"/>
                <w:szCs w:val="21"/>
              </w:rPr>
            </w:pPr>
            <w:r>
              <w:rPr>
                <w:rFonts w:eastAsia="黑体" w:cs="黑体" w:ascii="黑体" w:hAnsi="黑体"/>
                <w:bCs w:val="false"/>
                <w:szCs w:val="21"/>
              </w:rPr>
            </w:r>
          </w:p>
        </w:tc>
        <w:tc>
          <w:tcPr>
            <w:tcW w:w="2597" w:type="dxa"/>
            <w:gridSpan w:val="3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自评</w:t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上级</w:t>
            </w:r>
          </w:p>
        </w:tc>
        <w:tc>
          <w:tcPr>
            <w:tcW w:w="45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结果</w:t>
            </w:r>
          </w:p>
        </w:tc>
      </w:tr>
      <w:tr>
        <w:trPr>
          <w:trHeight w:val="340" w:hRule="atLeast"/>
          <w:cantSplit w:val="true"/>
        </w:trPr>
        <w:tc>
          <w:tcPr>
            <w:tcW w:w="55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生产计划</w:t>
            </w:r>
          </w:p>
        </w:tc>
        <w:tc>
          <w:tcPr>
            <w:tcW w:w="5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eastAsia="黑体" w:ascii="黑体" w:hAnsi="黑体"/>
                <w:szCs w:val="21"/>
              </w:rPr>
              <w:t>10%</w:t>
            </w:r>
          </w:p>
        </w:tc>
        <w:tc>
          <w:tcPr>
            <w:tcW w:w="24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每年</w:t>
            </w:r>
            <w:r>
              <w:rPr>
                <w:rFonts w:eastAsia="黑体" w:cs="黑体" w:ascii="黑体" w:hAnsi="黑体"/>
                <w:szCs w:val="21"/>
              </w:rPr>
              <w:t>12</w:t>
            </w:r>
            <w:r>
              <w:rPr>
                <w:rFonts w:ascii="黑体" w:hAnsi="黑体" w:cs="黑体" w:eastAsia="黑体"/>
                <w:szCs w:val="21"/>
              </w:rPr>
              <w:t>月制定并提交下年度生产计划，且通过</w:t>
            </w:r>
          </w:p>
        </w:tc>
        <w:tc>
          <w:tcPr>
            <w:tcW w:w="2597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符合要求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                 任何一项不符合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5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生产任务完成</w:t>
            </w:r>
          </w:p>
        </w:tc>
        <w:tc>
          <w:tcPr>
            <w:tcW w:w="5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eastAsia="黑体" w:ascii="黑体" w:hAnsi="黑体"/>
                <w:szCs w:val="21"/>
              </w:rPr>
              <w:t>20%</w:t>
            </w:r>
          </w:p>
        </w:tc>
        <w:tc>
          <w:tcPr>
            <w:tcW w:w="24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按目标要求在规定时间内完成生产任务</w:t>
            </w:r>
          </w:p>
        </w:tc>
        <w:tc>
          <w:tcPr>
            <w:tcW w:w="2597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按要求完成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任何一项不符合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5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63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5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生产总成本控制</w:t>
            </w:r>
          </w:p>
        </w:tc>
        <w:tc>
          <w:tcPr>
            <w:tcW w:w="5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eastAsia="黑体" w:ascii="黑体" w:hAnsi="黑体"/>
                <w:szCs w:val="21"/>
              </w:rPr>
              <w:t>10%</w:t>
            </w:r>
          </w:p>
        </w:tc>
        <w:tc>
          <w:tcPr>
            <w:tcW w:w="24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制定并提交生产成本预算，且通过，实际成本发生额不超预算</w:t>
            </w:r>
          </w:p>
        </w:tc>
        <w:tc>
          <w:tcPr>
            <w:tcW w:w="2597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cs="宋体" w:eastAsia="黑体"/>
                <w:szCs w:val="21"/>
              </w:rPr>
              <w:t>符合要求</w:t>
            </w:r>
            <w:r>
              <w:rPr>
                <w:rFonts w:eastAsia="黑体" w:cs="宋体" w:ascii="黑体" w:hAnsi="黑体"/>
                <w:szCs w:val="21"/>
              </w:rPr>
              <w:t>10</w:t>
            </w:r>
            <w:r>
              <w:rPr>
                <w:rFonts w:ascii="黑体" w:hAnsi="黑体" w:cs="宋体" w:eastAsia="黑体"/>
                <w:szCs w:val="21"/>
              </w:rPr>
              <w:t>分</w:t>
            </w:r>
          </w:p>
          <w:p>
            <w:pPr>
              <w:pStyle w:val="Normal"/>
              <w:jc w:val="start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cs="宋体" w:eastAsia="黑体"/>
                <w:szCs w:val="21"/>
              </w:rPr>
              <w:t>延时提交预算扣</w:t>
            </w:r>
            <w:r>
              <w:rPr>
                <w:rFonts w:eastAsia="黑体" w:cs="宋体" w:ascii="黑体" w:hAnsi="黑体"/>
                <w:szCs w:val="21"/>
              </w:rPr>
              <w:t>5</w:t>
            </w:r>
            <w:r>
              <w:rPr>
                <w:rFonts w:ascii="黑体" w:hAnsi="黑体" w:cs="宋体" w:eastAsia="黑体"/>
                <w:szCs w:val="21"/>
              </w:rPr>
              <w:t>分</w:t>
            </w:r>
          </w:p>
          <w:p>
            <w:pPr>
              <w:pStyle w:val="Normal"/>
              <w:jc w:val="start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cs="宋体" w:eastAsia="黑体"/>
                <w:szCs w:val="21"/>
              </w:rPr>
              <w:t>未提交预算</w:t>
            </w:r>
            <w:r>
              <w:rPr>
                <w:rFonts w:eastAsia="黑体" w:cs="宋体" w:ascii="黑体" w:hAnsi="黑体"/>
                <w:szCs w:val="21"/>
              </w:rPr>
              <w:t>0</w:t>
            </w:r>
            <w:r>
              <w:rPr>
                <w:rFonts w:ascii="黑体" w:hAnsi="黑体" w:cs="宋体" w:eastAsia="黑体"/>
                <w:szCs w:val="21"/>
              </w:rPr>
              <w:t>分</w:t>
            </w:r>
          </w:p>
          <w:p>
            <w:pPr>
              <w:pStyle w:val="Normal"/>
              <w:jc w:val="start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cs="宋体" w:eastAsia="黑体"/>
                <w:szCs w:val="21"/>
              </w:rPr>
              <w:t>生产总成本超出预算</w:t>
            </w:r>
            <w:r>
              <w:rPr>
                <w:rFonts w:ascii="黑体" w:hAnsi="黑体" w:cs="宋体" w:eastAsia="黑体"/>
                <w:szCs w:val="21"/>
              </w:rPr>
              <w:t xml:space="preserve"> </w:t>
            </w:r>
            <w:r>
              <w:rPr>
                <w:rFonts w:eastAsia="黑体" w:cs="宋体" w:ascii="黑体" w:hAnsi="黑体"/>
                <w:szCs w:val="21"/>
              </w:rPr>
              <w:t>0</w:t>
            </w:r>
            <w:r>
              <w:rPr>
                <w:rFonts w:ascii="黑体" w:hAnsi="黑体" w:cs="宋体" w:eastAsia="黑体"/>
                <w:szCs w:val="21"/>
              </w:rPr>
              <w:t>分</w:t>
            </w:r>
          </w:p>
        </w:tc>
        <w:tc>
          <w:tcPr>
            <w:tcW w:w="4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7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5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生产质量</w:t>
            </w:r>
          </w:p>
        </w:tc>
        <w:tc>
          <w:tcPr>
            <w:tcW w:w="5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eastAsia="黑体" w:ascii="黑体" w:hAnsi="黑体"/>
                <w:szCs w:val="21"/>
              </w:rPr>
              <w:t>20%</w:t>
            </w:r>
          </w:p>
        </w:tc>
        <w:tc>
          <w:tcPr>
            <w:tcW w:w="24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产品合格率为</w:t>
            </w:r>
            <w:r>
              <w:rPr>
                <w:rFonts w:eastAsia="黑体" w:cs="黑体" w:ascii="黑体" w:hAnsi="黑体"/>
                <w:szCs w:val="21"/>
              </w:rPr>
              <w:t>98%</w:t>
            </w:r>
            <w:r>
              <w:rPr>
                <w:rFonts w:ascii="黑体" w:hAnsi="黑体" w:cs="黑体" w:eastAsia="黑体"/>
                <w:szCs w:val="21"/>
              </w:rPr>
              <w:t>以上，无质量事故发生</w:t>
            </w:r>
          </w:p>
        </w:tc>
        <w:tc>
          <w:tcPr>
            <w:tcW w:w="2597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符合要求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合格率</w:t>
            </w:r>
            <w:r>
              <w:rPr>
                <w:rFonts w:eastAsia="黑体" w:cs="黑体" w:ascii="黑体" w:hAnsi="黑体"/>
                <w:szCs w:val="21"/>
              </w:rPr>
              <w:t>95</w:t>
            </w:r>
            <w:r>
              <w:rPr>
                <w:rFonts w:eastAsia="黑体" w:cs="黑体" w:ascii="黑体" w:hAnsi="黑体"/>
                <w:szCs w:val="21"/>
              </w:rPr>
              <w:t>%</w:t>
            </w:r>
            <w:r>
              <w:rPr>
                <w:rFonts w:ascii="黑体" w:hAnsi="黑体" w:cs="黑体" w:eastAsia="黑体"/>
                <w:szCs w:val="21"/>
              </w:rPr>
              <w:t>以上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合格率低于</w:t>
            </w:r>
            <w:r>
              <w:rPr>
                <w:rFonts w:eastAsia="黑体" w:cs="黑体" w:ascii="黑体" w:hAnsi="黑体"/>
                <w:szCs w:val="21"/>
              </w:rPr>
              <w:t>95%</w:t>
            </w:r>
            <w:r>
              <w:rPr>
                <w:rFonts w:ascii="黑体" w:hAnsi="黑体" w:cs="黑体" w:eastAsia="黑体"/>
                <w:szCs w:val="21"/>
              </w:rPr>
              <w:t>，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发生质量事故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7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5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员工流失率</w:t>
            </w:r>
          </w:p>
        </w:tc>
        <w:tc>
          <w:tcPr>
            <w:tcW w:w="5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eastAsia="黑体" w:ascii="黑体" w:hAnsi="黑体"/>
                <w:szCs w:val="21"/>
              </w:rPr>
              <w:t>10%</w:t>
            </w:r>
          </w:p>
        </w:tc>
        <w:tc>
          <w:tcPr>
            <w:tcW w:w="24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全年员工流失率低于</w:t>
            </w:r>
            <w:r>
              <w:rPr>
                <w:rFonts w:eastAsia="黑体" w:cs="黑体" w:ascii="黑体" w:hAnsi="黑体"/>
                <w:szCs w:val="21"/>
              </w:rPr>
              <w:t>__%</w:t>
            </w:r>
          </w:p>
        </w:tc>
        <w:tc>
          <w:tcPr>
            <w:tcW w:w="2597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符合要求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不符合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7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5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6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生产流程体系的建立与完善</w:t>
            </w:r>
          </w:p>
        </w:tc>
        <w:tc>
          <w:tcPr>
            <w:tcW w:w="5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eastAsia="黑体" w:ascii="黑体" w:hAnsi="黑体"/>
                <w:szCs w:val="21"/>
              </w:rPr>
              <w:t>20%</w:t>
            </w:r>
          </w:p>
        </w:tc>
        <w:tc>
          <w:tcPr>
            <w:tcW w:w="24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建立生产管理制度、生产流程管控体系</w:t>
            </w:r>
          </w:p>
        </w:tc>
        <w:tc>
          <w:tcPr>
            <w:tcW w:w="2597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完成率在</w:t>
            </w:r>
            <w:r>
              <w:rPr>
                <w:rFonts w:eastAsia="黑体" w:cs="黑体" w:ascii="黑体" w:hAnsi="黑体"/>
                <w:szCs w:val="21"/>
              </w:rPr>
              <w:t>90%</w:t>
            </w:r>
            <w:r>
              <w:rPr>
                <w:rFonts w:ascii="黑体" w:hAnsi="黑体" w:cs="黑体" w:eastAsia="黑体"/>
                <w:szCs w:val="21"/>
              </w:rPr>
              <w:t>以上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完成率在</w:t>
            </w:r>
            <w:r>
              <w:rPr>
                <w:rFonts w:eastAsia="黑体" w:cs="黑体" w:ascii="黑体" w:hAnsi="黑体"/>
                <w:szCs w:val="21"/>
              </w:rPr>
              <w:t>85%</w:t>
            </w:r>
            <w:r>
              <w:rPr>
                <w:rFonts w:ascii="黑体" w:hAnsi="黑体" w:cs="黑体" w:eastAsia="黑体"/>
                <w:szCs w:val="21"/>
              </w:rPr>
              <w:t>以上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完成率低于</w:t>
            </w:r>
            <w:r>
              <w:rPr>
                <w:rFonts w:eastAsia="黑体" w:cs="黑体" w:ascii="黑体" w:hAnsi="黑体"/>
                <w:szCs w:val="21"/>
              </w:rPr>
              <w:t>80%</w:t>
            </w:r>
            <w:r>
              <w:rPr>
                <w:rFonts w:ascii="黑体" w:hAnsi="黑体" w:cs="黑体" w:eastAsia="黑体"/>
                <w:szCs w:val="21"/>
              </w:rPr>
              <w:t>为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7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5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7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安全事故</w:t>
            </w:r>
          </w:p>
        </w:tc>
        <w:tc>
          <w:tcPr>
            <w:tcW w:w="5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248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无安全事故发生</w:t>
            </w:r>
          </w:p>
        </w:tc>
        <w:tc>
          <w:tcPr>
            <w:tcW w:w="2597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无事故发生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有事故发生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4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7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95" w:hRule="atLeast"/>
          <w:cantSplit w:val="true"/>
        </w:trPr>
        <w:tc>
          <w:tcPr>
            <w:tcW w:w="55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230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黑体" w:hAnsi="黑体" w:eastAsia="黑体" w:cs="黑体"/>
                <w:bCs w:val="false"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加权合计</w:t>
            </w:r>
          </w:p>
        </w:tc>
        <w:tc>
          <w:tcPr>
            <w:tcW w:w="6991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rPr>
                <w:rFonts w:ascii="黑体" w:hAnsi="黑体" w:eastAsia="黑体" w:cs="黑体"/>
                <w:bCs w:val="false"/>
                <w:szCs w:val="21"/>
              </w:rPr>
            </w:pPr>
            <w:r>
              <w:rPr>
                <w:rFonts w:eastAsia="黑体" w:cs="黑体" w:ascii="黑体" w:hAnsi="黑体"/>
                <w:bCs w:val="false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52" w:type="dxa"/>
            <w:vMerge w:val="restart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行为</w:t>
            </w:r>
          </w:p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</w:t>
            </w:r>
          </w:p>
        </w:tc>
        <w:tc>
          <w:tcPr>
            <w:tcW w:w="5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序号</w:t>
            </w:r>
          </w:p>
        </w:tc>
        <w:tc>
          <w:tcPr>
            <w:tcW w:w="11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考核指标</w:t>
            </w:r>
          </w:p>
        </w:tc>
        <w:tc>
          <w:tcPr>
            <w:tcW w:w="5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权重</w:t>
            </w:r>
          </w:p>
        </w:tc>
        <w:tc>
          <w:tcPr>
            <w:tcW w:w="4485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指标说明</w:t>
            </w:r>
          </w:p>
        </w:tc>
        <w:tc>
          <w:tcPr>
            <w:tcW w:w="11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考核评分</w:t>
            </w:r>
          </w:p>
        </w:tc>
        <w:tc>
          <w:tcPr>
            <w:tcW w:w="523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自评</w:t>
            </w:r>
          </w:p>
        </w:tc>
        <w:tc>
          <w:tcPr>
            <w:tcW w:w="44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上级</w:t>
            </w:r>
          </w:p>
        </w:tc>
        <w:tc>
          <w:tcPr>
            <w:tcW w:w="4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结果</w:t>
            </w:r>
          </w:p>
        </w:tc>
      </w:tr>
      <w:tr>
        <w:trPr>
          <w:trHeight w:val="340" w:hRule="atLeast"/>
          <w:cantSplit w:val="true"/>
        </w:trPr>
        <w:tc>
          <w:tcPr>
            <w:tcW w:w="55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</w:p>
        </w:tc>
        <w:tc>
          <w:tcPr>
            <w:tcW w:w="11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清财</w:t>
            </w:r>
          </w:p>
        </w:tc>
        <w:tc>
          <w:tcPr>
            <w:tcW w:w="5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4485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1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级：不违反财务制度</w:t>
            </w:r>
          </w:p>
          <w:p>
            <w:pPr>
              <w:pStyle w:val="Normal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2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级：没有任何财务问题，并主动接受监督</w:t>
            </w:r>
          </w:p>
          <w:p>
            <w:pPr>
              <w:pStyle w:val="Normal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3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级：不因自身利益而破坏游戏规则</w:t>
            </w:r>
          </w:p>
          <w:p>
            <w:pPr>
              <w:pStyle w:val="Normal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4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级：主动节省费用，并不影响工作质量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5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级：因为财务明磊，对其它成员产生影响力与威慑力</w:t>
            </w:r>
          </w:p>
        </w:tc>
        <w:tc>
          <w:tcPr>
            <w:tcW w:w="11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523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4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5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</w:p>
        </w:tc>
        <w:tc>
          <w:tcPr>
            <w:tcW w:w="11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指挥</w:t>
            </w:r>
          </w:p>
        </w:tc>
        <w:tc>
          <w:tcPr>
            <w:tcW w:w="5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4485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1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级：常规指标并清晰</w:t>
            </w:r>
          </w:p>
          <w:p>
            <w:pPr>
              <w:pStyle w:val="Normal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2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级：详细指导并告知操作方法</w:t>
            </w:r>
          </w:p>
          <w:p>
            <w:pPr>
              <w:pStyle w:val="Normal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3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级：坚决洽当处理不合理要求并对后果负责，控制场面</w:t>
            </w:r>
          </w:p>
          <w:p>
            <w:pPr>
              <w:pStyle w:val="Normal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4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级：团队工作井然，成员离场行为较好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5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级：指挥具有艺术性，成员不易违规</w:t>
            </w:r>
          </w:p>
        </w:tc>
        <w:tc>
          <w:tcPr>
            <w:tcW w:w="11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523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4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5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</w:p>
        </w:tc>
        <w:tc>
          <w:tcPr>
            <w:tcW w:w="11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承担责任</w:t>
            </w:r>
          </w:p>
        </w:tc>
        <w:tc>
          <w:tcPr>
            <w:tcW w:w="5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4485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1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级：承认结果，而不是强调愿望</w:t>
            </w:r>
          </w:p>
          <w:p>
            <w:pPr>
              <w:pStyle w:val="Normal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2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级：承担责任，不推卸，不指责</w:t>
            </w:r>
          </w:p>
          <w:p>
            <w:pPr>
              <w:pStyle w:val="Normal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3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级：着手解决问题，减少业务流程</w:t>
            </w:r>
          </w:p>
          <w:p>
            <w:pPr>
              <w:pStyle w:val="Normal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4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级：举一反三，改进业务流程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5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级：做事有预见，有防误设计</w:t>
            </w:r>
          </w:p>
        </w:tc>
        <w:tc>
          <w:tcPr>
            <w:tcW w:w="11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523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4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5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</w:p>
        </w:tc>
        <w:tc>
          <w:tcPr>
            <w:tcW w:w="11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领导力</w:t>
            </w:r>
          </w:p>
        </w:tc>
        <w:tc>
          <w:tcPr>
            <w:tcW w:w="5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eastAsia="黑体" w:cs="黑体" w:ascii="黑体" w:hAnsi="黑体"/>
                <w:szCs w:val="21"/>
              </w:rPr>
              <w:t>%</w:t>
            </w:r>
          </w:p>
        </w:tc>
        <w:tc>
          <w:tcPr>
            <w:tcW w:w="4485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1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级：任命员工合理</w:t>
            </w:r>
          </w:p>
          <w:p>
            <w:pPr>
              <w:pStyle w:val="Normal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2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级：能正确评价员工付出与回报协调性</w:t>
            </w:r>
          </w:p>
          <w:p>
            <w:pPr>
              <w:pStyle w:val="Normal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3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级：对员工业绩与态度进行客观评价</w:t>
            </w:r>
          </w:p>
          <w:p>
            <w:pPr>
              <w:pStyle w:val="Normal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4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级：掌握岗位精确工作技术及全面专家技术并组织实施产生良好效果，培训员工为胜任力者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color w:val="000000"/>
                <w:szCs w:val="21"/>
              </w:rPr>
              <w:t>5</w:t>
            </w:r>
            <w:r>
              <w:rPr>
                <w:rFonts w:ascii="黑体" w:hAnsi="黑体" w:cs="黑体" w:eastAsia="黑体"/>
                <w:color w:val="000000"/>
                <w:szCs w:val="21"/>
              </w:rPr>
              <w:t>级：影响力大，员工自愿追随并付出贡献</w:t>
            </w:r>
          </w:p>
        </w:tc>
        <w:tc>
          <w:tcPr>
            <w:tcW w:w="11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级</w:t>
            </w: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523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4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2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5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174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加权合计</w:t>
            </w:r>
          </w:p>
        </w:tc>
        <w:tc>
          <w:tcPr>
            <w:tcW w:w="7545" w:type="dxa"/>
            <w:gridSpan w:val="1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52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总分</w:t>
            </w:r>
          </w:p>
        </w:tc>
        <w:tc>
          <w:tcPr>
            <w:tcW w:w="9291" w:type="dxa"/>
            <w:gridSpan w:val="1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总分</w:t>
            </w:r>
            <w:r>
              <w:rPr>
                <w:rFonts w:eastAsia="黑体" w:cs="黑体" w:ascii="黑体" w:hAnsi="黑体"/>
                <w:szCs w:val="21"/>
              </w:rPr>
              <w:t>=</w:t>
            </w:r>
            <w:r>
              <w:rPr>
                <w:rFonts w:ascii="黑体" w:hAnsi="黑体" w:cs="黑体" w:eastAsia="黑体"/>
                <w:szCs w:val="21"/>
              </w:rPr>
              <w:t>业绩考核得分</w:t>
            </w:r>
            <w:r>
              <w:rPr>
                <w:rFonts w:eastAsia="黑体" w:cs="黑体" w:ascii="黑体" w:hAnsi="黑体"/>
                <w:szCs w:val="21"/>
              </w:rPr>
              <w:t>×</w:t>
            </w:r>
            <w:r>
              <w:rPr>
                <w:rFonts w:eastAsia="黑体" w:cs="黑体" w:ascii="黑体" w:hAnsi="黑体"/>
                <w:szCs w:val="21"/>
              </w:rPr>
              <w:t>80%+</w:t>
            </w:r>
            <w:r>
              <w:rPr>
                <w:rFonts w:ascii="黑体" w:hAnsi="黑体" w:cs="黑体" w:eastAsia="黑体"/>
                <w:szCs w:val="21"/>
              </w:rPr>
              <w:t>行为考核得分</w:t>
            </w:r>
            <w:r>
              <w:rPr>
                <w:rFonts w:eastAsia="黑体" w:cs="黑体" w:ascii="黑体" w:hAnsi="黑体"/>
                <w:szCs w:val="21"/>
              </w:rPr>
              <w:t>×</w:t>
            </w:r>
            <w:r>
              <w:rPr>
                <w:rFonts w:eastAsia="黑体" w:cs="黑体" w:ascii="黑体" w:hAnsi="黑体"/>
                <w:szCs w:val="21"/>
              </w:rPr>
              <w:t>20%</w:t>
            </w:r>
          </w:p>
        </w:tc>
      </w:tr>
      <w:tr>
        <w:trPr>
          <w:trHeight w:val="340" w:hRule="atLeast"/>
          <w:cantSplit w:val="true"/>
        </w:trPr>
        <w:tc>
          <w:tcPr>
            <w:tcW w:w="552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考核人</w:t>
            </w:r>
          </w:p>
        </w:tc>
        <w:tc>
          <w:tcPr>
            <w:tcW w:w="9291" w:type="dxa"/>
            <w:gridSpan w:val="15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 xml:space="preserve">    </w:t>
            </w:r>
            <w:r>
              <w:rPr>
                <w:rFonts w:ascii="黑体" w:hAnsi="黑体" w:cs="黑体" w:eastAsia="黑体"/>
                <w:szCs w:val="21"/>
              </w:rPr>
              <w:t>签字：</w:t>
            </w:r>
          </w:p>
          <w:p>
            <w:pPr>
              <w:pStyle w:val="Normal"/>
              <w:ind w:firstLine="6300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年</w:t>
            </w:r>
            <w:r>
              <w:rPr>
                <w:rFonts w:ascii="黑体" w:hAnsi="黑体" w:cs="黑体" w:eastAsia="黑体"/>
                <w:szCs w:val="21"/>
              </w:rPr>
              <w:t xml:space="preserve">    </w:t>
            </w:r>
            <w:r>
              <w:rPr>
                <w:rFonts w:ascii="黑体" w:hAnsi="黑体" w:cs="黑体" w:eastAsia="黑体"/>
                <w:szCs w:val="21"/>
              </w:rPr>
              <w:t>月</w:t>
            </w:r>
            <w:r>
              <w:rPr>
                <w:rFonts w:ascii="黑体" w:hAnsi="黑体" w:cs="黑体" w:eastAsia="黑体"/>
                <w:szCs w:val="21"/>
              </w:rPr>
              <w:t xml:space="preserve">    </w:t>
            </w:r>
            <w:r>
              <w:rPr>
                <w:rFonts w:ascii="黑体" w:hAnsi="黑体" w:cs="黑体" w:eastAsia="黑体"/>
                <w:szCs w:val="21"/>
              </w:rPr>
              <w:t>日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420"/>
          <w:tab w:val="left" w:pos="3780" w:leader="none"/>
        </w:tabs>
        <w:outlineLvl w:val="0"/>
        <w:rPr/>
      </w:pPr>
      <w:r>
        <w:rPr/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（二）考核成绩与奖金系数对应表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62"/>
        <w:gridCol w:w="5660"/>
      </w:tblGrid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考核分数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绩效工资系数（</w:t>
            </w:r>
            <w:r>
              <w:rPr>
                <w:rFonts w:cs="宋体" w:ascii="宋体" w:hAnsi="宋体"/>
                <w:b/>
                <w:sz w:val="24"/>
                <w:szCs w:val="24"/>
              </w:rPr>
              <w:t>K</w:t>
            </w:r>
            <w:r>
              <w:rPr>
                <w:rFonts w:ascii="宋体" w:hAnsi="宋体" w:cs="宋体"/>
                <w:b/>
                <w:sz w:val="24"/>
                <w:szCs w:val="24"/>
              </w:rPr>
              <w:t>）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95</w:t>
            </w:r>
            <w:r>
              <w:rPr>
                <w:rFonts w:ascii="宋体" w:hAnsi="宋体" w:cs="宋体"/>
                <w:b/>
                <w:sz w:val="24"/>
                <w:szCs w:val="24"/>
              </w:rPr>
              <w:t>分以上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1.2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90-94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1.0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85-89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0.9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80-84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0.8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75-79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0.7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70-74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0.6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65-69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0.5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60-64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0.4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60</w:t>
            </w:r>
            <w:r>
              <w:rPr>
                <w:rFonts w:ascii="宋体" w:hAnsi="宋体" w:cs="宋体"/>
                <w:b/>
                <w:sz w:val="24"/>
                <w:szCs w:val="24"/>
              </w:rPr>
              <w:t>分以下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440"/>
              <w:jc w:val="center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注：考核奖金总额</w:t>
      </w:r>
      <w:r>
        <w:rPr>
          <w:rFonts w:cs="宋体" w:ascii="宋体" w:hAnsi="宋体"/>
          <w:b/>
          <w:sz w:val="24"/>
          <w:szCs w:val="24"/>
        </w:rPr>
        <w:t>=</w:t>
      </w:r>
      <w:r>
        <w:rPr>
          <w:rFonts w:ascii="宋体" w:hAnsi="宋体" w:cs="宋体"/>
          <w:b/>
          <w:sz w:val="24"/>
          <w:szCs w:val="24"/>
        </w:rPr>
        <w:t>考核奖金基数</w:t>
      </w:r>
      <w:r>
        <w:rPr>
          <w:rFonts w:cs="宋体" w:ascii="宋体" w:hAnsi="宋体"/>
          <w:b/>
          <w:sz w:val="24"/>
          <w:szCs w:val="24"/>
        </w:rPr>
        <w:t>×K</w:t>
      </w:r>
      <w:r>
        <w:rPr>
          <w:rFonts w:ascii="宋体" w:hAnsi="宋体" w:cs="宋体"/>
          <w:b/>
          <w:sz w:val="24"/>
          <w:szCs w:val="24"/>
        </w:rPr>
        <w:t>；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五、乙方义务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、乙方必须保守甲方的商业信息，如有泄漏商业信息要追究乙方的法律责任；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、乙方在工作期间，不得利用职权进行违规作业；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、乙方若工作非常突出，贡献较大，甲方可适当对乙方进行额外嘉奖；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>、若乙方在不满服务期主动离开公司，则取消服务期满后的绩效奖励资格；若乙方在不满服务期被动离开公司，则按服务的期限考核兑现。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电网指标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公物私用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不按标准用人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回扣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非公司行为行贿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泄露机密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公款私用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虚报假账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旷工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煽动虚假消息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利用信息获得私人利益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销毁证据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虚假预算获得物质开支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违反品行指标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利用职务之便制造假数据获得利益</w:t>
      </w:r>
    </w:p>
    <w:p>
      <w:pPr>
        <w:pStyle w:val="Normal"/>
        <w:numPr>
          <w:ilvl w:val="0"/>
          <w:numId w:val="2"/>
        </w:numPr>
        <w:tabs>
          <w:tab w:val="clear" w:pos="420"/>
          <w:tab w:val="left" w:pos="567" w:leader="none"/>
        </w:tabs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违法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</w:t>
      </w:r>
      <w:r>
        <w:rPr>
          <w:rFonts w:ascii="宋体" w:hAnsi="宋体" w:cs="宋体"/>
          <w:b/>
          <w:sz w:val="24"/>
          <w:szCs w:val="24"/>
        </w:rPr>
        <w:t>乙方触及电网指标</w:t>
      </w:r>
      <w:r>
        <w:rPr>
          <w:rFonts w:cs="宋体" w:ascii="宋体" w:hAnsi="宋体"/>
          <w:b/>
          <w:sz w:val="24"/>
          <w:szCs w:val="24"/>
        </w:rPr>
        <w:t>,</w:t>
      </w:r>
      <w:r>
        <w:rPr>
          <w:rFonts w:ascii="宋体" w:hAnsi="宋体" w:cs="宋体"/>
          <w:b/>
          <w:sz w:val="24"/>
          <w:szCs w:val="24"/>
        </w:rPr>
        <w:t>甲方有权对乙方进行停职、降职、降薪、换岗、调离或解约。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  <w:r/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七、其他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、本责任书一式二份，甲乙双方各执一份；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、如果中间有变化，经双方友好协商调整。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、如岗位变更，工资也随之变化。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>、未尽事宜双方协商确定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甲方：                           乙方： （签字盖章）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签名 ：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 xml:space="preserve">签名（第一负责人）：                         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 xml:space="preserve">年     月    日                              年     月    日 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sectPr>
      <w:headerReference w:type="default" r:id="rId2"/>
      <w:footerReference w:type="default" r:id="rId3"/>
      <w:headerReference w:type="first" r:id="rId7"/>
      <w:headerReference w:type="even" r:id="rId8"/>
      <w:footerReference w:type="first" r:id="rId9"/>
      <w:footerReference w:type="even" r:id="rId10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charset w:val="86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黑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end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7785" cy="12636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263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.55pt;height:9.95pt;mso-wrap-distance-left:0pt;mso-wrap-distance-right:0pt;mso-wrap-distance-top:0pt;mso-wrap-distance-bottom:0pt;margin-top:0pt;mso-position-vertical:top;mso-position-vertical-relative:text;margin-left:410.7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/>
      <w:rPr/>
    </w:pPr>
    <w:r>
      <w:rPr/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chineseCountingThousand"/>
      <w:lvlText w:val="%1、"/>
      <w:lvlJc w:val="start"/>
      <w:pPr>
        <w:tabs>
          <w:tab w:val="num" w:pos="0"/>
        </w:tabs>
        <w:ind w:start="510" w:hanging="51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2">
    <w:lvl w:ilvl="0">
      <w:start w:val="1"/>
      <w:numFmt w:val="decimal"/>
      <w:lvlText w:val="%1、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默认段落字体"/>
    <w:qFormat/>
    <w:rPr/>
  </w:style>
  <w:style w:type="character" w:styleId="Char">
    <w:name w:val="日期 Char"/>
    <w:qFormat/>
    <w:rPr>
      <w:rFonts w:ascii="宋体" w:hAnsi="宋体" w:cs="宋体"/>
      <w:bCs/>
      <w:kern w:val="2"/>
      <w:sz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Times New Roman" w:hAnsi="Times New Roman" w:cs="Times New Roman"/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Style15">
    <w:name w:val="日期"/>
    <w:basedOn w:val="Normal"/>
    <w:next w:val="Normal"/>
    <w:qFormat/>
    <w:pPr/>
    <w:rPr>
      <w:rFonts w:ascii="宋体" w:hAnsi="宋体" w:cs="宋体"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2009-12-28T05:28:00Z</dcterms:created>
  <dc:creator>xxm</dc:creator>
  <dc:description/>
  <dc:language>en-US</dc:language>
  <cp:lastModifiedBy>Administrator</cp:lastModifiedBy>
  <dcterms:modified xsi:type="dcterms:W3CDTF">2020-06-10T10:22:18Z</dcterms:modified>
  <cp:revision>28</cp:revision>
  <dc:subject/>
  <dc:title>2009年工作目标考核协议书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