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</w:t>
      </w:r>
      <w:r>
        <w:rPr>
          <w:rFonts w:cs="宋体" w:ascii="宋体" w:hAnsi="宋体"/>
          <w:b/>
          <w:sz w:val="36"/>
          <w:szCs w:val="36"/>
          <w:lang w:val="en-US" w:eastAsia="zh-CN"/>
        </w:rPr>
        <w:t>20</w:t>
      </w:r>
      <w:r>
        <w:rPr>
          <w:rFonts w:ascii="宋体" w:hAnsi="宋体" w:cs="宋体"/>
          <w:b/>
          <w:sz w:val="36"/>
          <w:szCs w:val="36"/>
        </w:rPr>
        <w:t>年人力资源总监目标责任协议书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为加强公司人力资源管理，提高公司高管人员积极性，明确甲乙双方劳动关系，经甲乙双方友好协商，特签订本目标责任协议书。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人力资源总监  </w:t>
      </w:r>
      <w:r>
        <w:rPr>
          <w:rFonts w:ascii="宋体" w:hAnsi="宋体" w:cs="宋体"/>
          <w:sz w:val="24"/>
          <w:szCs w:val="24"/>
        </w:rPr>
        <w:t>职务，全面负责</w:t>
      </w:r>
      <w:r>
        <w:rPr>
          <w:rFonts w:ascii="宋体" w:hAnsi="宋体" w:cs="宋体"/>
          <w:sz w:val="24"/>
          <w:szCs w:val="24"/>
          <w:u w:val="single"/>
        </w:rPr>
        <w:t>人力资源管理</w:t>
      </w:r>
      <w:r>
        <w:rPr>
          <w:rFonts w:ascii="宋体" w:hAnsi="宋体" w:cs="宋体"/>
          <w:sz w:val="24"/>
          <w:szCs w:val="24"/>
        </w:rPr>
        <w:t>的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cs="宋体" w:ascii="宋体" w:hAnsi="宋体"/>
          <w:sz w:val="24"/>
          <w:szCs w:val="24"/>
        </w:rPr>
        <w:t>20</w:t>
      </w:r>
      <w:r>
        <w:rPr>
          <w:rFonts w:cs="宋体" w:ascii="宋体" w:hAnsi="宋体"/>
          <w:sz w:val="24"/>
          <w:szCs w:val="24"/>
          <w:lang w:val="en-US" w:eastAsia="zh-CN"/>
        </w:rPr>
        <w:t>20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日至</w:t>
      </w:r>
      <w:r>
        <w:rPr>
          <w:rFonts w:cs="宋体" w:ascii="宋体" w:hAnsi="宋体"/>
          <w:sz w:val="24"/>
          <w:szCs w:val="24"/>
        </w:rPr>
        <w:t>20</w:t>
      </w:r>
      <w:r>
        <w:rPr>
          <w:rFonts w:cs="宋体" w:ascii="宋体" w:hAnsi="宋体"/>
          <w:sz w:val="24"/>
          <w:szCs w:val="24"/>
          <w:lang w:val="en-US" w:eastAsia="zh-CN"/>
        </w:rPr>
        <w:t>20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cs="宋体" w:ascii="宋体" w:hAnsi="宋体"/>
          <w:sz w:val="24"/>
          <w:szCs w:val="24"/>
        </w:rPr>
        <w:t>12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cs="宋体" w:ascii="宋体" w:hAnsi="宋体"/>
          <w:sz w:val="24"/>
          <w:szCs w:val="24"/>
        </w:rPr>
        <w:t>31</w:t>
      </w:r>
      <w:r>
        <w:rPr>
          <w:rFonts w:ascii="宋体" w:hAnsi="宋体" w:cs="宋体"/>
          <w:sz w:val="24"/>
          <w:szCs w:val="24"/>
        </w:rPr>
        <w:t xml:space="preserve">日，考核结束后，双方根据实际情况，签订下年度目标责任协议书。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）人力资源战略目标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cs="宋体" w:ascii="宋体" w:hAnsi="宋体"/>
          <w:kern w:val="0"/>
          <w:sz w:val="24"/>
        </w:rPr>
        <w:t>15</w:t>
      </w:r>
      <w:r>
        <w:rPr>
          <w:rFonts w:ascii="宋体" w:hAnsi="宋体" w:cs="宋体"/>
          <w:kern w:val="0"/>
          <w:sz w:val="24"/>
        </w:rPr>
        <w:t>日前提交</w:t>
      </w:r>
      <w:r>
        <w:rPr>
          <w:rFonts w:cs="宋体" w:ascii="宋体" w:hAnsi="宋体"/>
          <w:kern w:val="0"/>
          <w:sz w:val="24"/>
        </w:rPr>
        <w:t>2013</w:t>
      </w:r>
      <w:r>
        <w:rPr>
          <w:rFonts w:ascii="宋体" w:hAnsi="宋体" w:cs="宋体"/>
          <w:kern w:val="0"/>
          <w:sz w:val="24"/>
        </w:rPr>
        <w:t>年全年的</w:t>
      </w:r>
      <w:r>
        <w:rPr>
          <w:rFonts w:ascii="宋体" w:hAnsi="宋体" w:cs="宋体"/>
          <w:kern w:val="0"/>
          <w:sz w:val="24"/>
        </w:rPr>
        <w:t>人力资源战略</w:t>
      </w:r>
      <w:r>
        <w:rPr>
          <w:rFonts w:ascii="宋体" w:hAnsi="宋体" w:cs="宋体"/>
          <w:kern w:val="0"/>
          <w:sz w:val="24"/>
        </w:rPr>
        <w:t>规划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）人力资源体系建设目标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kern w:val="0"/>
          <w:sz w:val="24"/>
        </w:rPr>
        <w:t>建立并完善人力资源</w:t>
      </w:r>
      <w:r>
        <w:rPr>
          <w:rFonts w:ascii="宋体" w:hAnsi="宋体" w:cs="宋体"/>
          <w:kern w:val="0"/>
          <w:sz w:val="24"/>
        </w:rPr>
        <w:t>各套</w:t>
      </w:r>
      <w:r>
        <w:rPr>
          <w:rFonts w:ascii="宋体" w:hAnsi="宋体" w:cs="宋体"/>
          <w:kern w:val="0"/>
          <w:sz w:val="24"/>
        </w:rPr>
        <w:t>管理体系</w:t>
      </w:r>
      <w:r>
        <w:rPr>
          <w:rFonts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包含招聘、绩效、培训、薪酬及员工</w:t>
      </w:r>
      <w:r>
        <w:rPr>
          <w:rFonts w:ascii="宋体" w:hAnsi="宋体" w:cs="宋体"/>
          <w:kern w:val="0"/>
          <w:sz w:val="24"/>
        </w:rPr>
        <w:t>生涯规划</w:t>
      </w:r>
      <w:r>
        <w:rPr>
          <w:rFonts w:ascii="宋体" w:hAnsi="宋体" w:cs="宋体"/>
          <w:kern w:val="0"/>
          <w:sz w:val="24"/>
        </w:rPr>
        <w:t>等体系的全面建设</w:t>
      </w:r>
      <w:r>
        <w:rPr>
          <w:rFonts w:ascii="宋体" w:hAnsi="宋体" w:cs="宋体"/>
          <w:kern w:val="0"/>
          <w:sz w:val="24"/>
        </w:rPr>
        <w:t>，</w:t>
      </w:r>
      <w:r>
        <w:rPr>
          <w:rFonts w:cs="宋体" w:ascii="宋体" w:hAnsi="宋体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cs="宋体" w:ascii="宋体" w:hAnsi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日前</w:t>
      </w:r>
      <w:r>
        <w:rPr>
          <w:rFonts w:ascii="宋体" w:hAnsi="宋体" w:cs="宋体"/>
          <w:kern w:val="0"/>
          <w:sz w:val="24"/>
        </w:rPr>
        <w:t>制定和完善人力资源管理制度</w:t>
      </w:r>
      <w:r>
        <w:rPr>
          <w:rFonts w:ascii="宋体" w:hAnsi="宋体" w:cs="宋体"/>
          <w:kern w:val="0"/>
          <w:sz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）人才建设目标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根据全年人力资源战略规划，完成规划的人员编制，要求：</w:t>
      </w:r>
      <w:r>
        <w:rPr>
          <w:rFonts w:ascii="宋体" w:hAnsi="宋体" w:cs="宋体"/>
          <w:kern w:val="0"/>
          <w:sz w:val="24"/>
        </w:rPr>
        <w:t>核</w:t>
      </w:r>
      <w:r>
        <w:rPr>
          <w:rFonts w:ascii="宋体" w:hAnsi="宋体" w:cs="宋体"/>
          <w:sz w:val="24"/>
          <w:szCs w:val="24"/>
        </w:rPr>
        <w:t xml:space="preserve">心员工保有率大于   </w:t>
      </w:r>
      <w:r>
        <w:rPr>
          <w:rFonts w:cs="宋体" w:ascii="宋体" w:hAnsi="宋体"/>
          <w:sz w:val="24"/>
          <w:szCs w:val="24"/>
        </w:rPr>
        <w:t>%</w:t>
      </w:r>
      <w:r>
        <w:rPr>
          <w:rFonts w:ascii="宋体" w:hAnsi="宋体" w:cs="宋体"/>
          <w:sz w:val="24"/>
          <w:szCs w:val="24"/>
        </w:rPr>
        <w:t xml:space="preserve">，主管级以上人员流失率低于   </w:t>
      </w:r>
      <w:r>
        <w:rPr>
          <w:rFonts w:cs="宋体" w:ascii="宋体" w:hAnsi="宋体"/>
          <w:sz w:val="24"/>
          <w:szCs w:val="24"/>
        </w:rPr>
        <w:t>%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）文化建设目标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 </w:t>
      </w:r>
      <w:r>
        <w:rPr>
          <w:rFonts w:ascii="宋体" w:hAnsi="宋体" w:cs="宋体"/>
          <w:kern w:val="0"/>
          <w:sz w:val="24"/>
        </w:rPr>
        <w:t>负责</w:t>
      </w:r>
      <w:r>
        <w:rPr>
          <w:rFonts w:ascii="宋体" w:hAnsi="宋体" w:cs="宋体"/>
          <w:kern w:val="0"/>
          <w:sz w:val="24"/>
        </w:rPr>
        <w:t>塑造、维护、发展和传播企业文化</w:t>
      </w:r>
      <w:r>
        <w:rPr>
          <w:rFonts w:ascii="宋体" w:hAnsi="宋体" w:cs="宋体"/>
          <w:kern w:val="0"/>
          <w:sz w:val="24"/>
        </w:rPr>
        <w:t>，包括文化宣导、文化培训、组织各项活动、公关工作等。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  <w:r>
        <w:rPr>
          <w:rFonts w:cs="宋体" w:ascii="宋体" w:hAnsi="宋体"/>
          <w:b/>
          <w:sz w:val="24"/>
          <w:szCs w:val="24"/>
        </w:rPr>
        <w:tab/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利润分红（年终奖金）”（参考）</w:t>
      </w:r>
      <w:r>
        <w:rPr>
          <w:rFonts w:ascii="宋体" w:hAnsi="宋体" w:cs="宋体"/>
          <w:sz w:val="24"/>
          <w:szCs w:val="24"/>
        </w:rPr>
        <w:t>。其中，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>固定工资为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；绩效工资为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 xml:space="preserve"> ；年终奖金为：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2</w:t>
      </w:r>
      <w:r>
        <w:rPr>
          <w:rFonts w:ascii="宋体" w:hAnsi="宋体" w:cs="宋体"/>
          <w:color w:val="FF0000"/>
          <w:sz w:val="24"/>
          <w:szCs w:val="24"/>
        </w:rPr>
        <w:t>）绩效工资</w:t>
      </w:r>
      <w:r>
        <w:rPr>
          <w:rFonts w:cs="宋体" w:ascii="宋体" w:hAnsi="宋体"/>
          <w:color w:val="FF0000"/>
          <w:sz w:val="24"/>
          <w:szCs w:val="24"/>
        </w:rPr>
        <w:t>:</w:t>
      </w:r>
      <w:r>
        <w:rPr>
          <w:rFonts w:ascii="宋体" w:hAnsi="宋体" w:cs="宋体"/>
          <w:color w:val="FF0000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 xml:space="preserve">）年终奖金：为公司利润增长部分的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</w:rPr>
      </w:pPr>
      <w:r>
        <w:rPr>
          <w:rFonts w:ascii="宋体" w:hAnsi="宋体" w:cs="宋体"/>
          <w:b/>
          <w:sz w:val="24"/>
        </w:rPr>
        <w:t>考核评分表（年度）</w:t>
      </w:r>
    </w:p>
    <w:p>
      <w:pPr>
        <w:pStyle w:val="Normal"/>
        <w:jc w:val="end"/>
        <w:rPr>
          <w:rFonts w:ascii="黑体" w:hAnsi="黑体" w:eastAsia="黑体" w:cs="黑体"/>
        </w:rPr>
      </w:pPr>
      <w:r>
        <w:rPr>
          <w:rFonts w:ascii="黑体" w:hAnsi="黑体" w:cs="黑体" w:eastAsia="黑体"/>
        </w:rPr>
        <w:t>考核期间：        年   月</w:t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5"/>
        <w:gridCol w:w="187"/>
        <w:gridCol w:w="336"/>
        <w:gridCol w:w="1098"/>
        <w:gridCol w:w="577"/>
        <w:gridCol w:w="544"/>
        <w:gridCol w:w="1259"/>
        <w:gridCol w:w="809"/>
        <w:gridCol w:w="1050"/>
        <w:gridCol w:w="1373"/>
        <w:gridCol w:w="82"/>
        <w:gridCol w:w="399"/>
        <w:gridCol w:w="57"/>
        <w:gridCol w:w="448"/>
        <w:gridCol w:w="26"/>
        <w:gridCol w:w="458"/>
      </w:tblGrid>
      <w:tr>
        <w:trPr>
          <w:trHeight w:val="530" w:hRule="atLeast"/>
          <w:cantSplit w:val="true"/>
        </w:trPr>
        <w:tc>
          <w:tcPr>
            <w:tcW w:w="77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2011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803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4702" w:type="dxa"/>
            <w:gridSpan w:val="9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CHO</w:t>
            </w:r>
          </w:p>
        </w:tc>
      </w:tr>
      <w:tr>
        <w:trPr>
          <w:trHeight w:val="340" w:hRule="atLeast"/>
          <w:cantSplit w:val="true"/>
        </w:trPr>
        <w:tc>
          <w:tcPr>
            <w:tcW w:w="585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绩效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54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指标要求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147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675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4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068" w:type="dxa"/>
            <w:gridSpan w:val="2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42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人力资源规划提交及时性</w:t>
            </w:r>
          </w:p>
        </w:tc>
        <w:tc>
          <w:tcPr>
            <w:tcW w:w="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jc w:val="end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eastAsia="黑体" w:cs="黑体" w:ascii="黑体" w:hAnsi="黑体"/>
                <w:bCs w:val="false"/>
                <w:szCs w:val="21"/>
                <w:lang w:val="en-US" w:eastAsia="zh-CN"/>
              </w:rPr>
              <w:t>10%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每年的</w:t>
            </w:r>
            <w:r>
              <w:rPr>
                <w:rFonts w:eastAsia="黑体" w:cs="黑体" w:ascii="黑体" w:hAnsi="黑体"/>
                <w:szCs w:val="21"/>
              </w:rPr>
              <w:t>12</w:t>
            </w:r>
            <w:r>
              <w:rPr>
                <w:rFonts w:ascii="黑体" w:hAnsi="黑体" w:cs="黑体" w:eastAsia="黑体"/>
                <w:szCs w:val="21"/>
              </w:rPr>
              <w:t>月底前，按照公司年度战略规划提交下年度人力资源规划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按时提交且符合战略规划要求，为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否则为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管理干部培养</w:t>
            </w:r>
          </w:p>
        </w:tc>
        <w:tc>
          <w:tcPr>
            <w:tcW w:w="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30%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按照公司年度战略规划培养公司</w:t>
            </w:r>
            <w:r>
              <w:rPr>
                <w:rFonts w:eastAsia="黑体" w:cs="黑体" w:ascii="黑体" w:hAnsi="黑体"/>
                <w:szCs w:val="21"/>
              </w:rPr>
              <w:t>MOP</w:t>
            </w:r>
            <w:r>
              <w:rPr>
                <w:rFonts w:ascii="黑体" w:hAnsi="黑体" w:cs="黑体" w:eastAsia="黑体"/>
                <w:szCs w:val="21"/>
              </w:rPr>
              <w:t>人才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按要求完成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每少一名扣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组织系统建设及导入实施</w:t>
            </w:r>
          </w:p>
        </w:tc>
        <w:tc>
          <w:tcPr>
            <w:tcW w:w="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30%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制定组织系统方案，审核通过，并导入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制定方案，实施率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以上为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实施率</w:t>
            </w: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实施率</w:t>
            </w:r>
            <w:r>
              <w:rPr>
                <w:rFonts w:eastAsia="黑体" w:cs="黑体" w:ascii="黑体" w:hAnsi="黑体"/>
                <w:szCs w:val="21"/>
              </w:rPr>
              <w:t>70%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70%</w:t>
            </w:r>
            <w:r>
              <w:rPr>
                <w:rFonts w:ascii="黑体" w:hAnsi="黑体" w:cs="黑体" w:eastAsia="黑体"/>
                <w:szCs w:val="21"/>
              </w:rPr>
              <w:t>以下为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人员编制达标</w:t>
            </w:r>
          </w:p>
        </w:tc>
        <w:tc>
          <w:tcPr>
            <w:tcW w:w="544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按照人力资源规划实现年度人员编制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人员编制达标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以上为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以上为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以下为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企业文化培训</w:t>
            </w:r>
          </w:p>
        </w:tc>
        <w:tc>
          <w:tcPr>
            <w:tcW w:w="544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全年组织公司企业文化培训</w:t>
            </w:r>
            <w:r>
              <w:rPr>
                <w:rFonts w:eastAsia="黑体" w:cs="黑体" w:ascii="黑体" w:hAnsi="黑体"/>
                <w:szCs w:val="21"/>
              </w:rPr>
              <w:t>12</w:t>
            </w:r>
            <w:r>
              <w:rPr>
                <w:rFonts w:ascii="黑体" w:hAnsi="黑体" w:cs="黑体" w:eastAsia="黑体"/>
                <w:szCs w:val="21"/>
              </w:rPr>
              <w:t>次，并通关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组织并通关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每少一次扣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人力资源成本控制</w:t>
            </w:r>
          </w:p>
        </w:tc>
        <w:tc>
          <w:tcPr>
            <w:tcW w:w="5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年度人力资源成本实际费用控制在预算内，误差在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按要求完成为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误差在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以内为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误差超出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85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19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ascii="黑体" w:hAnsi="黑体" w:cs="黑体" w:eastAsia="黑体"/>
                <w:b/>
                <w:szCs w:val="21"/>
                <w:lang w:val="en-US" w:eastAsia="zh-CN"/>
              </w:rPr>
              <w:t>加权合计</w:t>
            </w:r>
          </w:p>
        </w:tc>
        <w:tc>
          <w:tcPr>
            <w:tcW w:w="6505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eastAsia="黑体" w:cs="黑体" w:ascii="黑体" w:hAnsi="黑体"/>
                <w:bCs w:val="false"/>
                <w:szCs w:val="21"/>
                <w:lang w:val="en-US" w:eastAsia="zh-CN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85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行为指标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366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66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、承认结果，而不是强调愿望；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、承担责任，不推卸，不指责；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、着手解决问题，减少业务流程；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、举一反三，改进业务流程；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、做事有预见，有防误设计；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bookmarkStart w:id="0" w:name="OLE_LINK2"/>
            <w:bookmarkStart w:id="1" w:name="OLE_LINK1"/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  <w:bookmarkEnd w:id="0"/>
            <w:bookmarkEnd w:id="1"/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领导力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66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、任命员工合理；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、能正确评价员工付出与回报协调性；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、对员工业绩与态度进行客观评价；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、掌握岗位精确工作技术及全面专家并组织实施产生良好效果，培训员工为胜任力者；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、影响力大，员工自愿追随并付出贡献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cs="黑体" w:eastAsia="黑体"/>
                <w:color w:val="000000"/>
                <w:szCs w:val="21"/>
              </w:rPr>
              <w:t>公平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66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、不对别人指点，不对除下级以外人进行品格指责；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、进行对下级与同事进行正态评定；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、利用制度对工作作出正确评定；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、主动提出别人工作改进方案；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、对别人提供支持，并产生积极效果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5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cs="黑体" w:eastAsia="黑体"/>
                <w:color w:val="000000"/>
                <w:szCs w:val="21"/>
              </w:rPr>
              <w:t>主动性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66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、等候指示；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、询问有何工作可给分配；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、提出建议，然后再作有关行动；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、行动，但例外情况下征求意见；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、单独行动，定时汇报结果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85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6505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8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8703" w:type="dxa"/>
            <w:gridSpan w:val="1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  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  %=</w:t>
            </w:r>
          </w:p>
        </w:tc>
      </w:tr>
      <w:tr>
        <w:trPr>
          <w:trHeight w:val="340" w:hRule="atLeast"/>
          <w:cantSplit w:val="true"/>
        </w:trPr>
        <w:tc>
          <w:tcPr>
            <w:tcW w:w="585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8703" w:type="dxa"/>
            <w:gridSpan w:val="1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ind w:firstLine="5775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    月    日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2012-12-26T20:48:00Z</dcterms:created>
  <dc:creator>xxm</dc:creator>
  <dc:description/>
  <dc:language>en-US</dc:language>
  <cp:lastModifiedBy>Administrator</cp:lastModifiedBy>
  <dcterms:modified xsi:type="dcterms:W3CDTF">2020-06-10T10:32:01Z</dcterms:modified>
  <cp:revision>17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