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jc w:val="center"/>
        <w:rPr>
          <w:rFonts w:ascii="宋体" w:hAnsi="宋体" w:cs="宋体"/>
          <w:b/>
          <w:b/>
          <w:sz w:val="36"/>
          <w:szCs w:val="36"/>
        </w:rPr>
      </w:pPr>
      <w:r>
        <w:rPr>
          <w:rFonts w:cs="宋体" w:ascii="宋体" w:hAnsi="宋体"/>
          <w:b/>
          <w:sz w:val="36"/>
          <w:szCs w:val="36"/>
        </w:rPr>
        <w:t>20</w:t>
      </w:r>
      <w:r>
        <w:rPr>
          <w:rFonts w:cs="宋体" w:ascii="宋体" w:hAnsi="宋体"/>
          <w:b/>
          <w:sz w:val="36"/>
          <w:szCs w:val="36"/>
          <w:lang w:val="en-US" w:eastAsia="zh-CN"/>
        </w:rPr>
        <w:t>20</w:t>
      </w:r>
      <w:r>
        <w:rPr>
          <w:rFonts w:ascii="宋体" w:hAnsi="宋体" w:cs="宋体"/>
          <w:b/>
          <w:sz w:val="36"/>
          <w:szCs w:val="36"/>
        </w:rPr>
        <w:t>年财务总监目标责任协议书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ascii="宋体" w:hAnsi="宋体" w:cs="宋体"/>
          <w:b/>
          <w:sz w:val="24"/>
          <w:szCs w:val="24"/>
        </w:rPr>
        <w:t>甲方：</w:t>
      </w:r>
      <w:r>
        <w:rPr>
          <w:rFonts w:cs="宋体" w:ascii="宋体" w:hAnsi="宋体"/>
          <w:b/>
          <w:sz w:val="24"/>
          <w:szCs w:val="24"/>
        </w:rPr>
        <w:t>XX</w:t>
      </w:r>
      <w:r>
        <w:rPr>
          <w:rFonts w:ascii="宋体" w:hAnsi="宋体" w:cs="宋体"/>
          <w:b/>
          <w:sz w:val="24"/>
          <w:szCs w:val="24"/>
        </w:rPr>
        <w:t>公司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乙方：</w:t>
      </w:r>
      <w:r>
        <w:rPr>
          <w:rFonts w:cs="宋体" w:ascii="宋体" w:hAnsi="宋体"/>
          <w:b/>
          <w:sz w:val="24"/>
          <w:szCs w:val="24"/>
        </w:rPr>
        <w:t>XXX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  <w:t xml:space="preserve">   </w:t>
      </w:r>
      <w:r>
        <w:rPr>
          <w:rFonts w:ascii="宋体" w:hAnsi="宋体" w:cs="宋体"/>
          <w:sz w:val="24"/>
          <w:szCs w:val="24"/>
        </w:rPr>
        <w:t>为加强公司人力资源管理，提高公司高管人员积极性，明确甲乙双方劳动关系，经甲乙双方友好协商，特签订本目标责任协议书。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一、聘用岗位和时间</w:t>
      </w:r>
    </w:p>
    <w:p>
      <w:pPr>
        <w:pStyle w:val="Normal"/>
        <w:spacing w:lineRule="exact" w:line="440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甲方聘用乙方担任甲方</w:t>
      </w:r>
      <w:r>
        <w:rPr>
          <w:rFonts w:ascii="宋体" w:hAnsi="宋体" w:cs="宋体"/>
          <w:sz w:val="24"/>
          <w:szCs w:val="24"/>
          <w:u w:val="single"/>
        </w:rPr>
        <w:t xml:space="preserve">  财务总监  </w:t>
      </w:r>
      <w:r>
        <w:rPr>
          <w:rFonts w:ascii="宋体" w:hAnsi="宋体" w:cs="宋体"/>
          <w:sz w:val="24"/>
          <w:szCs w:val="24"/>
        </w:rPr>
        <w:t>职务，全面负责</w:t>
      </w:r>
      <w:r>
        <w:rPr>
          <w:rFonts w:ascii="宋体" w:hAnsi="宋体" w:cs="宋体"/>
          <w:sz w:val="24"/>
          <w:szCs w:val="24"/>
          <w:u w:val="single"/>
        </w:rPr>
        <w:t>财务系统管理</w:t>
      </w:r>
      <w:r>
        <w:rPr>
          <w:rFonts w:ascii="宋体" w:hAnsi="宋体" w:cs="宋体"/>
          <w:sz w:val="24"/>
          <w:szCs w:val="24"/>
        </w:rPr>
        <w:t>的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>工作，聘任、考核时间为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cs="宋体"/>
          <w:sz w:val="24"/>
          <w:szCs w:val="24"/>
          <w:u w:val="single"/>
        </w:rPr>
        <w:t>年</w:t>
      </w:r>
      <w:r>
        <w:rPr>
          <w:rFonts w:cs="宋体" w:ascii="宋体" w:hAnsi="宋体"/>
          <w:sz w:val="24"/>
          <w:szCs w:val="24"/>
          <w:u w:val="single"/>
        </w:rPr>
        <w:t>1</w:t>
      </w:r>
      <w:r>
        <w:rPr>
          <w:rFonts w:ascii="宋体" w:hAnsi="宋体" w:cs="宋体"/>
          <w:sz w:val="24"/>
          <w:szCs w:val="24"/>
          <w:u w:val="single"/>
        </w:rPr>
        <w:t>月</w:t>
      </w:r>
      <w:r>
        <w:rPr>
          <w:rFonts w:cs="宋体" w:ascii="宋体" w:hAnsi="宋体"/>
          <w:sz w:val="24"/>
          <w:szCs w:val="24"/>
          <w:u w:val="single"/>
        </w:rPr>
        <w:t>1</w:t>
      </w:r>
      <w:r>
        <w:rPr>
          <w:rFonts w:ascii="宋体" w:hAnsi="宋体" w:cs="宋体"/>
          <w:sz w:val="24"/>
          <w:szCs w:val="24"/>
          <w:u w:val="single"/>
        </w:rPr>
        <w:t>日至</w:t>
      </w:r>
      <w:r>
        <w:rPr>
          <w:rFonts w:cs="宋体" w:ascii="宋体" w:hAnsi="宋体"/>
          <w:sz w:val="24"/>
          <w:szCs w:val="24"/>
          <w:u w:val="single"/>
        </w:rPr>
        <w:t>20</w:t>
      </w:r>
      <w:r>
        <w:rPr>
          <w:rFonts w:cs="宋体" w:ascii="宋体" w:hAnsi="宋体"/>
          <w:sz w:val="24"/>
          <w:szCs w:val="24"/>
          <w:u w:val="single"/>
          <w:lang w:val="en-US" w:eastAsia="zh-CN"/>
        </w:rPr>
        <w:t>20</w:t>
      </w:r>
      <w:r>
        <w:rPr>
          <w:rFonts w:ascii="宋体" w:hAnsi="宋体" w:cs="宋体"/>
          <w:sz w:val="24"/>
          <w:szCs w:val="24"/>
          <w:u w:val="single"/>
        </w:rPr>
        <w:t>年</w:t>
      </w:r>
      <w:r>
        <w:rPr>
          <w:rFonts w:cs="宋体" w:ascii="宋体" w:hAnsi="宋体"/>
          <w:sz w:val="24"/>
          <w:szCs w:val="24"/>
          <w:u w:val="single"/>
        </w:rPr>
        <w:t>12</w:t>
      </w:r>
      <w:r>
        <w:rPr>
          <w:rFonts w:ascii="宋体" w:hAnsi="宋体" w:cs="宋体"/>
          <w:sz w:val="24"/>
          <w:szCs w:val="24"/>
          <w:u w:val="single"/>
        </w:rPr>
        <w:t>月</w:t>
      </w:r>
      <w:r>
        <w:rPr>
          <w:rFonts w:cs="宋体" w:ascii="宋体" w:hAnsi="宋体"/>
          <w:sz w:val="24"/>
          <w:szCs w:val="24"/>
          <w:u w:val="single"/>
        </w:rPr>
        <w:t>31</w:t>
      </w:r>
      <w:r>
        <w:rPr>
          <w:rFonts w:ascii="宋体" w:hAnsi="宋体" w:cs="宋体"/>
          <w:sz w:val="24"/>
          <w:szCs w:val="24"/>
          <w:u w:val="single"/>
        </w:rPr>
        <w:t>日</w:t>
      </w:r>
      <w:r>
        <w:rPr>
          <w:rFonts w:ascii="宋体" w:hAnsi="宋体" w:cs="宋体"/>
          <w:sz w:val="24"/>
          <w:szCs w:val="24"/>
        </w:rPr>
        <w:t xml:space="preserve">，考核结束后，双方根据实际情况，签订下年度目标责任协议书。 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二、乙方的主要岗位职责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）财务战略规划目标</w:t>
      </w:r>
    </w:p>
    <w:p>
      <w:pPr>
        <w:pStyle w:val="Normal"/>
        <w:spacing w:lineRule="exact" w:line="440"/>
        <w:ind w:firstLine="360"/>
        <w:rPr>
          <w:rFonts w:ascii="宋体" w:hAnsi="宋体" w:cs="宋体"/>
          <w:kern w:val="0"/>
          <w:sz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</w:rPr>
        <w:t>负责</w:t>
      </w:r>
      <w:r>
        <w:rPr>
          <w:rFonts w:ascii="宋体" w:hAnsi="宋体" w:cs="宋体"/>
          <w:kern w:val="0"/>
          <w:sz w:val="24"/>
        </w:rPr>
        <w:t>利用财务核算与会计管理原理为公司经营决策提供依据，协助总经理制定公司战略，并主持公司财务战略规划的制定</w:t>
      </w:r>
      <w:r>
        <w:rPr>
          <w:rFonts w:ascii="宋体" w:hAnsi="宋体" w:cs="宋体"/>
          <w:kern w:val="0"/>
          <w:sz w:val="24"/>
        </w:rPr>
        <w:t xml:space="preserve">， </w:t>
      </w:r>
      <w:r>
        <w:rPr>
          <w:rFonts w:cs="宋体" w:ascii="宋体" w:hAnsi="宋体"/>
          <w:kern w:val="0"/>
          <w:sz w:val="24"/>
        </w:rPr>
        <w:t>12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cs="宋体" w:ascii="宋体" w:hAnsi="宋体"/>
          <w:kern w:val="0"/>
          <w:sz w:val="24"/>
        </w:rPr>
        <w:t>20</w:t>
      </w:r>
      <w:r>
        <w:rPr>
          <w:rFonts w:ascii="宋体" w:hAnsi="宋体" w:cs="宋体"/>
          <w:kern w:val="0"/>
          <w:sz w:val="24"/>
        </w:rPr>
        <w:t>日前提交本年度财务分析报告及下年度财务预测分析。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）财务体系建设目标</w:t>
      </w:r>
    </w:p>
    <w:p>
      <w:pPr>
        <w:pStyle w:val="Normal"/>
        <w:spacing w:lineRule="exact" w:line="440"/>
        <w:ind w:firstLine="240"/>
        <w:rPr>
          <w:rFonts w:ascii="宋体" w:hAnsi="宋体" w:cs="宋体"/>
          <w:kern w:val="0"/>
          <w:sz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cs="宋体" w:ascii="宋体" w:hAnsi="宋体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cs="宋体" w:ascii="宋体" w:hAnsi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日前</w:t>
      </w:r>
      <w:r>
        <w:rPr>
          <w:rFonts w:cs="宋体" w:ascii="宋体" w:hAnsi="宋体"/>
          <w:kern w:val="0"/>
          <w:sz w:val="24"/>
        </w:rPr>
        <w:t>,</w:t>
      </w:r>
      <w:r>
        <w:rPr>
          <w:rFonts w:ascii="宋体" w:hAnsi="宋体" w:cs="宋体"/>
          <w:kern w:val="0"/>
          <w:sz w:val="24"/>
        </w:rPr>
        <w:t>建立财务核算体系和财务监控体系，进行有效的内部控制</w:t>
      </w:r>
      <w:r>
        <w:rPr>
          <w:rFonts w:ascii="宋体" w:hAnsi="宋体" w:cs="宋体"/>
          <w:kern w:val="0"/>
          <w:sz w:val="24"/>
        </w:rPr>
        <w:t>；</w:t>
      </w:r>
    </w:p>
    <w:p>
      <w:pPr>
        <w:pStyle w:val="Normal"/>
        <w:spacing w:lineRule="exact" w:line="440"/>
        <w:ind w:firstLine="240"/>
        <w:rPr>
          <w:rFonts w:ascii="宋体" w:hAnsi="宋体" w:cs="宋体"/>
          <w:kern w:val="0"/>
          <w:sz w:val="24"/>
        </w:rPr>
      </w:pPr>
      <w:r>
        <w:rPr>
          <w:rFonts w:cs="宋体" w:ascii="宋体" w:hAnsi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、</w:t>
      </w:r>
      <w:r>
        <w:rPr>
          <w:rFonts w:cs="宋体" w:ascii="宋体" w:hAnsi="宋体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月</w:t>
      </w:r>
      <w:r>
        <w:rPr>
          <w:rFonts w:cs="宋体" w:ascii="宋体" w:hAnsi="宋体"/>
          <w:kern w:val="0"/>
          <w:sz w:val="24"/>
        </w:rPr>
        <w:t>1</w:t>
      </w:r>
      <w:r>
        <w:rPr>
          <w:rFonts w:ascii="宋体" w:hAnsi="宋体" w:cs="宋体"/>
          <w:kern w:val="0"/>
          <w:sz w:val="24"/>
        </w:rPr>
        <w:t>日前</w:t>
      </w:r>
      <w:r>
        <w:rPr>
          <w:rFonts w:cs="宋体" w:ascii="宋体" w:hAnsi="宋体"/>
          <w:kern w:val="0"/>
          <w:sz w:val="24"/>
        </w:rPr>
        <w:t>,</w:t>
      </w:r>
      <w:r>
        <w:rPr>
          <w:rFonts w:ascii="宋体" w:hAnsi="宋体" w:cs="宋体"/>
          <w:kern w:val="0"/>
          <w:sz w:val="24"/>
        </w:rPr>
        <w:t>制定公司资金运营计划，监督资金管理报告和预、决算</w:t>
      </w:r>
      <w:r>
        <w:rPr>
          <w:rFonts w:ascii="宋体" w:hAnsi="宋体" w:cs="宋体"/>
          <w:kern w:val="0"/>
          <w:sz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kern w:val="0"/>
          <w:sz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）现金及报表管理目标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</w:rPr>
        <w:t>负责</w:t>
      </w:r>
      <w:r>
        <w:rPr>
          <w:rFonts w:ascii="宋体" w:hAnsi="宋体" w:cs="宋体"/>
          <w:kern w:val="0"/>
          <w:sz w:val="24"/>
        </w:rPr>
        <w:t>审核财务报表，提交财务管理工作报告</w:t>
      </w:r>
      <w:r>
        <w:rPr>
          <w:rFonts w:ascii="宋体" w:hAnsi="宋体" w:cs="宋体"/>
          <w:kern w:val="0"/>
          <w:sz w:val="24"/>
        </w:rPr>
        <w:t>，内外财务报表无差错；</w:t>
      </w:r>
    </w:p>
    <w:p>
      <w:pPr>
        <w:pStyle w:val="Normal"/>
        <w:spacing w:lineRule="exact" w:line="440"/>
        <w:ind w:firstLine="2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</w:rPr>
        <w:t>负责</w:t>
      </w:r>
      <w:r>
        <w:rPr>
          <w:rFonts w:ascii="宋体" w:hAnsi="宋体" w:cs="宋体"/>
          <w:kern w:val="0"/>
          <w:sz w:val="24"/>
        </w:rPr>
        <w:t>对公司投资活动所需要的资金筹措方式进行成本计算，并提供最为经济的酬资方式</w:t>
      </w:r>
      <w:r>
        <w:rPr>
          <w:rFonts w:ascii="宋体" w:hAnsi="宋体" w:cs="宋体"/>
          <w:sz w:val="24"/>
          <w:szCs w:val="24"/>
        </w:rPr>
        <w:t>，</w:t>
      </w:r>
      <w:r>
        <w:rPr>
          <w:rFonts w:ascii="宋体" w:hAnsi="宋体" w:cs="宋体"/>
          <w:kern w:val="0"/>
          <w:sz w:val="24"/>
        </w:rPr>
        <w:t>资金成本率低于普通银行借款利息率；</w:t>
      </w:r>
    </w:p>
    <w:p>
      <w:pPr>
        <w:pStyle w:val="Normal"/>
        <w:spacing w:lineRule="exact" w:line="440"/>
        <w:rPr>
          <w:rFonts w:ascii="宋体" w:hAnsi="宋体" w:cs="宋体"/>
          <w:kern w:val="0"/>
          <w:sz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</w:rPr>
        <w:t>负责</w:t>
      </w:r>
      <w:r>
        <w:rPr>
          <w:rFonts w:ascii="宋体" w:hAnsi="宋体" w:cs="宋体"/>
          <w:kern w:val="0"/>
          <w:sz w:val="24"/>
        </w:rPr>
        <w:t>筹集公司运营所需资金，保证公司战略发展的资金需求，审批公司重大资金流向</w:t>
      </w:r>
      <w:r>
        <w:rPr>
          <w:rFonts w:ascii="宋体" w:hAnsi="宋体" w:cs="宋体"/>
          <w:kern w:val="0"/>
          <w:sz w:val="24"/>
        </w:rPr>
        <w:t>，保证企业重大项目资金供给不断流。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）风险管理目标</w:t>
      </w:r>
    </w:p>
    <w:p>
      <w:pPr>
        <w:pStyle w:val="Normal"/>
        <w:spacing w:lineRule="exact" w:line="440"/>
        <w:rPr>
          <w:rFonts w:ascii="宋体" w:hAnsi="宋体" w:cs="宋体"/>
          <w:kern w:val="0"/>
          <w:sz w:val="24"/>
        </w:rPr>
      </w:pPr>
      <w:r>
        <w:rPr>
          <w:rFonts w:cs="宋体" w:ascii="宋体" w:hAnsi="宋体"/>
          <w:sz w:val="24"/>
          <w:szCs w:val="24"/>
        </w:rPr>
        <w:t xml:space="preserve"> </w:t>
      </w: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</w:t>
      </w:r>
      <w:r>
        <w:rPr>
          <w:rFonts w:ascii="宋体" w:hAnsi="宋体" w:cs="宋体"/>
          <w:kern w:val="0"/>
          <w:sz w:val="24"/>
        </w:rPr>
        <w:t>负责</w:t>
      </w:r>
      <w:r>
        <w:rPr>
          <w:rFonts w:ascii="宋体" w:hAnsi="宋体" w:cs="宋体"/>
          <w:kern w:val="0"/>
          <w:sz w:val="24"/>
        </w:rPr>
        <w:t>主持对重大投资项目和经营活动的风险评估、指导、跟踪和财务风险控制</w:t>
      </w:r>
      <w:r>
        <w:rPr>
          <w:rFonts w:ascii="宋体" w:hAnsi="宋体" w:cs="宋体"/>
          <w:kern w:val="0"/>
          <w:sz w:val="24"/>
        </w:rPr>
        <w:t>，无重大财务风险事故（含信用事故）发生，应收帐款周转率大于</w:t>
      </w:r>
      <w:r>
        <w:rPr>
          <w:rFonts w:cs="宋体" w:ascii="宋体" w:hAnsi="宋体"/>
          <w:kern w:val="0"/>
          <w:sz w:val="24"/>
        </w:rPr>
        <w:t>3</w:t>
      </w:r>
      <w:r>
        <w:rPr>
          <w:rFonts w:ascii="宋体" w:hAnsi="宋体" w:cs="宋体"/>
          <w:kern w:val="0"/>
          <w:sz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kern w:val="0"/>
          <w:sz w:val="24"/>
        </w:rPr>
      </w:pPr>
      <w:r>
        <w:rPr>
          <w:rFonts w:cs="宋体" w:ascii="宋体" w:hAnsi="宋体"/>
          <w:kern w:val="0"/>
          <w:sz w:val="24"/>
        </w:rPr>
        <w:t xml:space="preserve"> </w:t>
      </w:r>
      <w:r>
        <w:rPr>
          <w:rFonts w:cs="宋体" w:ascii="宋体" w:hAnsi="宋体"/>
          <w:kern w:val="0"/>
          <w:sz w:val="24"/>
        </w:rPr>
        <w:t>2</w:t>
      </w:r>
      <w:r>
        <w:rPr>
          <w:rFonts w:ascii="宋体" w:hAnsi="宋体" w:cs="宋体"/>
          <w:kern w:val="0"/>
          <w:sz w:val="24"/>
        </w:rPr>
        <w:t>、负责</w:t>
      </w:r>
      <w:r>
        <w:rPr>
          <w:rFonts w:ascii="宋体" w:hAnsi="宋体" w:cs="宋体"/>
          <w:kern w:val="0"/>
          <w:sz w:val="24"/>
        </w:rPr>
        <w:t>协调公司同银行、工商、税务等政府部门的关系，维护公司利益</w:t>
      </w:r>
      <w:r>
        <w:rPr>
          <w:rFonts w:ascii="宋体" w:hAnsi="宋体" w:cs="宋体"/>
          <w:kern w:val="0"/>
          <w:sz w:val="24"/>
        </w:rPr>
        <w:t>，全年无重大财务事件发生。</w:t>
      </w:r>
    </w:p>
    <w:p>
      <w:pPr>
        <w:pStyle w:val="Normal"/>
        <w:spacing w:lineRule="exact" w:line="440"/>
        <w:rPr>
          <w:rFonts w:ascii="宋体" w:hAnsi="宋体" w:cs="宋体"/>
          <w:kern w:val="0"/>
          <w:sz w:val="24"/>
          <w:szCs w:val="24"/>
        </w:rPr>
      </w:pPr>
      <w:r>
        <w:rPr>
          <w:rFonts w:cs="宋体" w:ascii="宋体" w:hAnsi="宋体"/>
          <w:kern w:val="0"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三、乙方的薪酬结构及收益说明</w:t>
      </w:r>
      <w:r>
        <w:rPr>
          <w:rFonts w:cs="宋体" w:ascii="宋体" w:hAnsi="宋体"/>
          <w:b/>
          <w:sz w:val="24"/>
          <w:szCs w:val="24"/>
        </w:rPr>
        <w:tab/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、乙方工资结构为</w:t>
      </w:r>
      <w:r>
        <w:rPr>
          <w:rFonts w:ascii="宋体" w:hAnsi="宋体" w:cs="宋体"/>
          <w:color w:val="FF0000"/>
          <w:sz w:val="24"/>
          <w:szCs w:val="24"/>
        </w:rPr>
        <w:t>“固定工资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绩效工资</w:t>
      </w:r>
      <w:r>
        <w:rPr>
          <w:rFonts w:cs="宋体" w:ascii="宋体" w:hAnsi="宋体"/>
          <w:color w:val="FF0000"/>
          <w:sz w:val="24"/>
          <w:szCs w:val="24"/>
        </w:rPr>
        <w:t>+</w:t>
      </w:r>
      <w:r>
        <w:rPr>
          <w:rFonts w:ascii="宋体" w:hAnsi="宋体" w:cs="宋体"/>
          <w:color w:val="FF0000"/>
          <w:sz w:val="24"/>
          <w:szCs w:val="24"/>
        </w:rPr>
        <w:t>利润分红（年终奖金）”（参考）</w:t>
      </w:r>
      <w:r>
        <w:rPr>
          <w:rFonts w:ascii="宋体" w:hAnsi="宋体" w:cs="宋体"/>
          <w:sz w:val="24"/>
          <w:szCs w:val="24"/>
        </w:rPr>
        <w:t>。其中，</w:t>
      </w:r>
    </w:p>
    <w:p>
      <w:pPr>
        <w:pStyle w:val="Normal"/>
        <w:spacing w:lineRule="exact" w:line="440"/>
        <w:ind w:firstLine="480"/>
        <w:rPr>
          <w:rFonts w:ascii="宋体" w:hAnsi="宋体" w:cs="宋体"/>
          <w:color w:val="FF0000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固定工资为：</w:t>
      </w:r>
      <w:r>
        <w:rPr>
          <w:rFonts w:ascii="宋体" w:hAnsi="宋体" w:cs="宋体"/>
          <w:sz w:val="24"/>
          <w:szCs w:val="24"/>
          <w:u w:val="single"/>
        </w:rPr>
        <w:t xml:space="preserve">          </w:t>
      </w:r>
      <w:r>
        <w:rPr>
          <w:rFonts w:ascii="宋体" w:hAnsi="宋体" w:cs="宋体"/>
          <w:sz w:val="24"/>
          <w:szCs w:val="24"/>
        </w:rPr>
        <w:t>；绩效工资为：</w:t>
      </w:r>
      <w:r>
        <w:rPr>
          <w:rFonts w:ascii="宋体" w:hAnsi="宋体" w:cs="宋体"/>
          <w:sz w:val="24"/>
          <w:szCs w:val="24"/>
          <w:u w:val="single"/>
        </w:rPr>
        <w:t xml:space="preserve">        </w:t>
      </w:r>
      <w:r>
        <w:rPr>
          <w:rFonts w:ascii="宋体" w:hAnsi="宋体" w:cs="宋体"/>
          <w:sz w:val="24"/>
          <w:szCs w:val="24"/>
        </w:rPr>
        <w:t xml:space="preserve"> ；年终奖金为：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ascii="宋体" w:hAnsi="宋体" w:cs="宋体"/>
          <w:sz w:val="24"/>
          <w:szCs w:val="24"/>
        </w:rPr>
        <w:t>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、收益说明：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）固定工资：与日常职责履行挂钩，具体参照《岗位工作分析表》；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）绩效工资</w:t>
      </w:r>
      <w:r>
        <w:rPr>
          <w:rFonts w:cs="宋体" w:ascii="宋体" w:hAnsi="宋体"/>
          <w:sz w:val="24"/>
          <w:szCs w:val="24"/>
        </w:rPr>
        <w:t>:</w:t>
      </w:r>
      <w:r>
        <w:rPr>
          <w:rFonts w:ascii="宋体" w:hAnsi="宋体" w:cs="宋体"/>
          <w:sz w:val="24"/>
          <w:szCs w:val="24"/>
        </w:rPr>
        <w:t>与月度绩效考核持钩，具体参照《岗位月度绩效考核表》；</w:t>
      </w:r>
    </w:p>
    <w:p>
      <w:pPr>
        <w:pStyle w:val="Normal"/>
        <w:spacing w:lineRule="exact" w:line="440"/>
        <w:rPr>
          <w:rFonts w:ascii="宋体" w:hAnsi="宋体" w:cs="宋体"/>
          <w:color w:val="FF0000"/>
          <w:sz w:val="24"/>
          <w:szCs w:val="24"/>
        </w:rPr>
      </w:pPr>
      <w:r>
        <w:rPr>
          <w:rFonts w:cs="宋体" w:ascii="宋体" w:hAnsi="宋体"/>
          <w:color w:val="FF0000"/>
          <w:sz w:val="24"/>
          <w:szCs w:val="24"/>
        </w:rPr>
        <w:t>3</w:t>
      </w:r>
      <w:r>
        <w:rPr>
          <w:rFonts w:ascii="宋体" w:hAnsi="宋体" w:cs="宋体"/>
          <w:color w:val="FF0000"/>
          <w:sz w:val="24"/>
          <w:szCs w:val="24"/>
        </w:rPr>
        <w:t xml:space="preserve">）年终奖金：为公司利润增长部分的  </w:t>
      </w:r>
      <w:r>
        <w:rPr>
          <w:rFonts w:cs="宋体" w:ascii="宋体" w:hAnsi="宋体"/>
          <w:color w:val="FF0000"/>
          <w:sz w:val="24"/>
          <w:szCs w:val="24"/>
        </w:rPr>
        <w:t>%</w:t>
      </w:r>
      <w:r>
        <w:rPr>
          <w:rFonts w:ascii="宋体" w:hAnsi="宋体" w:cs="宋体"/>
          <w:color w:val="FF0000"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四、乙方全年绩效考核指标与方法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（一）乙方绩效考核表</w:t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outlineLvl w:val="0"/>
        <w:rPr>
          <w:rFonts w:ascii="宋体" w:hAnsi="宋体" w:cs="宋体"/>
          <w:b/>
          <w:b/>
          <w:sz w:val="24"/>
        </w:rPr>
      </w:pPr>
      <w:r>
        <w:rPr>
          <w:rFonts w:cs="宋体" w:ascii="宋体" w:hAnsi="宋体"/>
          <w:b/>
          <w:sz w:val="24"/>
        </w:rPr>
      </w:r>
    </w:p>
    <w:p>
      <w:pPr>
        <w:pStyle w:val="Normal"/>
        <w:numPr>
          <w:ilvl w:val="0"/>
          <w:numId w:val="0"/>
        </w:numPr>
        <w:tabs>
          <w:tab w:val="clear" w:pos="420"/>
          <w:tab w:val="left" w:pos="3780" w:leader="none"/>
        </w:tabs>
        <w:jc w:val="center"/>
        <w:outlineLvl w:val="0"/>
        <w:rPr>
          <w:rFonts w:ascii="宋体" w:hAnsi="宋体" w:cs="宋体"/>
        </w:rPr>
      </w:pPr>
      <w:r>
        <w:rPr>
          <w:rFonts w:ascii="宋体" w:hAnsi="宋体" w:cs="宋体"/>
          <w:b/>
          <w:sz w:val="24"/>
        </w:rPr>
        <w:t>考核评分表（年度）</w:t>
      </w:r>
    </w:p>
    <w:p>
      <w:pPr>
        <w:pStyle w:val="Normal"/>
        <w:jc w:val="end"/>
        <w:rPr>
          <w:rFonts w:ascii="黑体" w:hAnsi="黑体" w:eastAsia="黑体" w:cs="黑体"/>
        </w:rPr>
      </w:pPr>
      <w:r>
        <w:rPr>
          <w:rFonts w:ascii="黑体" w:hAnsi="黑体" w:cs="黑体" w:eastAsia="黑体"/>
        </w:rPr>
        <w:t>考核期间：        年   月</w:t>
      </w:r>
    </w:p>
    <w:tbl>
      <w:tblPr>
        <w:tblW w:w="992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19"/>
        <w:gridCol w:w="446"/>
        <w:gridCol w:w="758"/>
        <w:gridCol w:w="632"/>
        <w:gridCol w:w="418"/>
        <w:gridCol w:w="531"/>
        <w:gridCol w:w="1811"/>
        <w:gridCol w:w="1259"/>
        <w:gridCol w:w="1378"/>
        <w:gridCol w:w="686"/>
        <w:gridCol w:w="493"/>
        <w:gridCol w:w="286"/>
        <w:gridCol w:w="191"/>
        <w:gridCol w:w="513"/>
      </w:tblGrid>
      <w:tr>
        <w:trPr>
          <w:trHeight w:val="340" w:hRule="atLeast"/>
          <w:cantSplit w:val="true"/>
        </w:trPr>
        <w:tc>
          <w:tcPr>
            <w:tcW w:w="519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姓名</w:t>
            </w:r>
          </w:p>
        </w:tc>
        <w:tc>
          <w:tcPr>
            <w:tcW w:w="2254" w:type="dxa"/>
            <w:gridSpan w:val="4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342" w:type="dxa"/>
            <w:gridSpan w:val="2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岗位</w:t>
            </w:r>
          </w:p>
        </w:tc>
        <w:tc>
          <w:tcPr>
            <w:tcW w:w="4806" w:type="dxa"/>
            <w:gridSpan w:val="7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CFO</w:t>
            </w:r>
          </w:p>
        </w:tc>
      </w:tr>
      <w:tr>
        <w:trPr>
          <w:trHeight w:val="340" w:hRule="atLeast"/>
          <w:cantSplit w:val="true"/>
        </w:trPr>
        <w:tc>
          <w:tcPr>
            <w:tcW w:w="519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任务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绩效</w:t>
            </w:r>
          </w:p>
        </w:tc>
        <w:tc>
          <w:tcPr>
            <w:tcW w:w="446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考核项目</w:t>
            </w:r>
          </w:p>
        </w:tc>
        <w:tc>
          <w:tcPr>
            <w:tcW w:w="53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1811" w:type="dxa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指标要求</w:t>
            </w:r>
          </w:p>
        </w:tc>
        <w:tc>
          <w:tcPr>
            <w:tcW w:w="2637" w:type="dxa"/>
            <w:gridSpan w:val="2"/>
            <w:vMerge w:val="restart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评分等级</w:t>
            </w:r>
          </w:p>
        </w:tc>
        <w:tc>
          <w:tcPr>
            <w:tcW w:w="2169" w:type="dxa"/>
            <w:gridSpan w:val="5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得分</w:t>
            </w:r>
          </w:p>
        </w:tc>
      </w:tr>
      <w:tr>
        <w:trPr>
          <w:trHeight w:val="340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808" w:type="dxa"/>
            <w:gridSpan w:val="3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3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1811" w:type="dxa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637" w:type="dxa"/>
            <w:gridSpan w:val="2"/>
            <w:vMerge w:val="continue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18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ind w:start="-5" w:hanging="14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预算管理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end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  <w:t>30%</w:t>
            </w:r>
          </w:p>
        </w:tc>
        <w:tc>
          <w:tcPr>
            <w:tcW w:w="18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实现年度预算且全年预算误差率控制在</w:t>
            </w:r>
            <w:r>
              <w:rPr>
                <w:rFonts w:eastAsia="黑体" w:cs="黑体" w:ascii="黑体" w:hAnsi="黑体"/>
                <w:szCs w:val="21"/>
              </w:rPr>
              <w:t>5%</w:t>
            </w:r>
            <w:r>
              <w:rPr>
                <w:rFonts w:ascii="黑体" w:hAnsi="黑体" w:cs="黑体" w:eastAsia="黑体"/>
                <w:szCs w:val="21"/>
              </w:rPr>
              <w:t>以内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年度预算误差率控制在</w:t>
            </w:r>
            <w:r>
              <w:rPr>
                <w:rFonts w:eastAsia="黑体" w:cs="黑体" w:ascii="黑体" w:hAnsi="黑体"/>
                <w:szCs w:val="21"/>
              </w:rPr>
              <w:t>5%</w:t>
            </w:r>
            <w:r>
              <w:rPr>
                <w:rFonts w:ascii="黑体" w:hAnsi="黑体" w:cs="黑体" w:eastAsia="黑体"/>
                <w:szCs w:val="21"/>
              </w:rPr>
              <w:t>以内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</w:t>
            </w:r>
            <w:r>
              <w:rPr>
                <w:rFonts w:eastAsia="黑体" w:cs="黑体" w:ascii="黑体" w:hAnsi="黑体"/>
                <w:szCs w:val="21"/>
              </w:rPr>
              <w:t>6%</w:t>
            </w:r>
            <w:r>
              <w:rPr>
                <w:rFonts w:ascii="黑体" w:hAnsi="黑体" w:cs="黑体" w:eastAsia="黑体"/>
                <w:szCs w:val="21"/>
              </w:rPr>
              <w:t>以内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6%</w:t>
            </w:r>
            <w:r>
              <w:rPr>
                <w:rFonts w:ascii="黑体" w:hAnsi="黑体" w:cs="黑体" w:eastAsia="黑体"/>
                <w:szCs w:val="21"/>
              </w:rPr>
              <w:t>以上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18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信息管理及报表管理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20%</w:t>
            </w:r>
          </w:p>
        </w:tc>
        <w:tc>
          <w:tcPr>
            <w:tcW w:w="18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全年财务信息汇报及时、准备，且准确编制相关报表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全年财务信息汇报无差错且报表准确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全年财务信息或报表出现差错一次扣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18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税务管理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30%</w:t>
            </w:r>
          </w:p>
        </w:tc>
        <w:tc>
          <w:tcPr>
            <w:tcW w:w="18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指税务安全与税务准确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全年税务稽查率为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，报税合理，税点在</w:t>
            </w:r>
            <w:r>
              <w:rPr>
                <w:rFonts w:eastAsia="黑体" w:cs="黑体" w:ascii="黑体" w:hAnsi="黑体"/>
                <w:szCs w:val="21"/>
              </w:rPr>
              <w:t>5.5%</w:t>
            </w:r>
            <w:r>
              <w:rPr>
                <w:rFonts w:ascii="黑体" w:hAnsi="黑体" w:cs="黑体" w:eastAsia="黑体"/>
                <w:szCs w:val="21"/>
              </w:rPr>
              <w:t>以内</w:t>
            </w:r>
            <w:r>
              <w:rPr>
                <w:rFonts w:eastAsia="黑体" w:cs="黑体" w:ascii="黑体" w:hAnsi="黑体"/>
                <w:szCs w:val="21"/>
              </w:rPr>
              <w:t>30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少一项扣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分，直至为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18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财务团队建设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18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培训财务团队不少于</w:t>
            </w:r>
            <w:r>
              <w:rPr>
                <w:rFonts w:eastAsia="黑体" w:cs="黑体" w:ascii="黑体" w:hAnsi="黑体"/>
                <w:szCs w:val="21"/>
              </w:rPr>
              <w:t>24</w:t>
            </w:r>
            <w:r>
              <w:rPr>
                <w:rFonts w:ascii="黑体" w:hAnsi="黑体" w:cs="黑体" w:eastAsia="黑体"/>
                <w:szCs w:val="21"/>
              </w:rPr>
              <w:t>小时，培养财务主管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名以上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按时培训并考核通关，并完成培养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未达标，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</w:p>
        </w:tc>
        <w:tc>
          <w:tcPr>
            <w:tcW w:w="18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财务管理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5%</w:t>
            </w:r>
          </w:p>
        </w:tc>
        <w:tc>
          <w:tcPr>
            <w:tcW w:w="18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指审计所有财务流程、执行制度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全年财务流程及财务制度执行无差错为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否则为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6</w:t>
            </w:r>
          </w:p>
        </w:tc>
        <w:tc>
          <w:tcPr>
            <w:tcW w:w="1808" w:type="dxa"/>
            <w:gridSpan w:val="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财务系统建设</w:t>
            </w:r>
          </w:p>
        </w:tc>
        <w:tc>
          <w:tcPr>
            <w:tcW w:w="53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end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10%</w:t>
            </w:r>
          </w:p>
        </w:tc>
        <w:tc>
          <w:tcPr>
            <w:tcW w:w="1811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指按照进度导入财务系统</w:t>
            </w:r>
          </w:p>
        </w:tc>
        <w:tc>
          <w:tcPr>
            <w:tcW w:w="263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按照进度，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未导入，</w:t>
            </w:r>
            <w:r>
              <w:rPr>
                <w:rFonts w:eastAsia="黑体" w:cs="黑体" w:ascii="黑体" w:hAnsi="黑体"/>
                <w:szCs w:val="21"/>
              </w:rPr>
              <w:t>0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68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79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70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95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25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Style15"/>
              <w:jc w:val="center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7148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Style15"/>
              <w:snapToGrid w:val="false"/>
              <w:rPr>
                <w:rFonts w:ascii="黑体" w:hAnsi="黑体" w:eastAsia="黑体" w:cs="黑体"/>
                <w:bCs w:val="false"/>
                <w:szCs w:val="21"/>
              </w:rPr>
            </w:pPr>
            <w:r>
              <w:rPr>
                <w:rFonts w:eastAsia="黑体" w:cs="黑体" w:ascii="黑体" w:hAnsi="黑体"/>
                <w:bCs w:val="false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9" w:type="dxa"/>
            <w:vMerge w:val="restart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</w:t>
            </w:r>
          </w:p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</w:t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序号</w:t>
            </w:r>
          </w:p>
        </w:tc>
        <w:tc>
          <w:tcPr>
            <w:tcW w:w="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行为指标</w:t>
            </w:r>
          </w:p>
        </w:tc>
        <w:tc>
          <w:tcPr>
            <w:tcW w:w="6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权重</w:t>
            </w:r>
          </w:p>
        </w:tc>
        <w:tc>
          <w:tcPr>
            <w:tcW w:w="4019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指标说明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考核评分</w:t>
            </w:r>
          </w:p>
        </w:tc>
        <w:tc>
          <w:tcPr>
            <w:tcW w:w="4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自评</w:t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上级</w:t>
            </w:r>
          </w:p>
        </w:tc>
        <w:tc>
          <w:tcPr>
            <w:tcW w:w="5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结果</w:t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</w:p>
        </w:tc>
        <w:tc>
          <w:tcPr>
            <w:tcW w:w="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156" w:after="15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领导力</w:t>
            </w:r>
          </w:p>
        </w:tc>
        <w:tc>
          <w:tcPr>
            <w:tcW w:w="6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pacing w:lineRule="auto" w:line="360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19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、任命员工合理；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、能正确评价员工付出与回报协调性；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、对员工业绩与态度进行客观评价；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、掌握岗位精确工作技术及全面专家；并组织实施产生良好效果，培训员工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为胜任力者；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、影响力大，员工自愿追随并付出贡献；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</w:p>
        </w:tc>
        <w:tc>
          <w:tcPr>
            <w:tcW w:w="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156" w:after="15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商业保密</w:t>
            </w:r>
          </w:p>
        </w:tc>
        <w:tc>
          <w:tcPr>
            <w:tcW w:w="6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19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、明知商业技术及信息的范围及要点；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、工作期间遵守单位保密协议，并积极宣传正面信息；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、不进行商业性信息交易，不透露单位发展的技术及战略；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、维护公司商业机密并有实际案例；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、影响他人做好商业保密，离职后五年不脱密的职业操守；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</w:p>
        </w:tc>
        <w:tc>
          <w:tcPr>
            <w:tcW w:w="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156" w:after="15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承担责任</w:t>
            </w:r>
          </w:p>
        </w:tc>
        <w:tc>
          <w:tcPr>
            <w:tcW w:w="6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19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、承认结果，而不是强调愿望；</w:t>
            </w:r>
          </w:p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、承担责任，不推卸，不指责；</w:t>
            </w:r>
          </w:p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、着手解决问题，减少业务流程；</w:t>
            </w:r>
          </w:p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、举一反三，改进业务流程；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、做事有预见，有防误设计；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4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</w:p>
        </w:tc>
        <w:tc>
          <w:tcPr>
            <w:tcW w:w="75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widowControl/>
              <w:spacing w:before="156" w:after="156"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清财</w:t>
            </w:r>
          </w:p>
        </w:tc>
        <w:tc>
          <w:tcPr>
            <w:tcW w:w="6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25%</w:t>
            </w:r>
          </w:p>
        </w:tc>
        <w:tc>
          <w:tcPr>
            <w:tcW w:w="4019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1</w:t>
            </w:r>
            <w:r>
              <w:rPr>
                <w:rFonts w:ascii="黑体" w:hAnsi="黑体" w:cs="黑体" w:eastAsia="黑体"/>
                <w:szCs w:val="21"/>
              </w:rPr>
              <w:t>、不违反财务制度；</w:t>
            </w:r>
          </w:p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2</w:t>
            </w:r>
            <w:r>
              <w:rPr>
                <w:rFonts w:ascii="黑体" w:hAnsi="黑体" w:cs="黑体" w:eastAsia="黑体"/>
                <w:szCs w:val="21"/>
              </w:rPr>
              <w:t>、没有任何财务问题，并主动接受监督；</w:t>
            </w:r>
          </w:p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3</w:t>
            </w:r>
            <w:r>
              <w:rPr>
                <w:rFonts w:ascii="黑体" w:hAnsi="黑体" w:cs="黑体" w:eastAsia="黑体"/>
                <w:szCs w:val="21"/>
              </w:rPr>
              <w:t>、不因自身利益而破坏游戏规则；</w:t>
            </w:r>
          </w:p>
          <w:p>
            <w:pPr>
              <w:pStyle w:val="Normal"/>
              <w:widowControl/>
              <w:jc w:val="start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4</w:t>
            </w:r>
            <w:r>
              <w:rPr>
                <w:rFonts w:ascii="黑体" w:hAnsi="黑体" w:cs="黑体" w:eastAsia="黑体"/>
                <w:szCs w:val="21"/>
              </w:rPr>
              <w:t>、主动节省费用，并不影响工作质量；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、因为财务明磊，对其它成员产生影响力与威慑力</w:t>
            </w:r>
          </w:p>
        </w:tc>
        <w:tc>
          <w:tcPr>
            <w:tcW w:w="2064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一级</w:t>
            </w:r>
            <w:r>
              <w:rPr>
                <w:rFonts w:eastAsia="黑体" w:cs="黑体" w:ascii="黑体" w:hAnsi="黑体"/>
                <w:szCs w:val="21"/>
              </w:rPr>
              <w:t>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二级</w:t>
            </w:r>
            <w:r>
              <w:rPr>
                <w:rFonts w:eastAsia="黑体" w:cs="黑体" w:ascii="黑体" w:hAnsi="黑体"/>
                <w:szCs w:val="21"/>
              </w:rPr>
              <w:t>10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三级</w:t>
            </w:r>
            <w:r>
              <w:rPr>
                <w:rFonts w:eastAsia="黑体" w:cs="黑体" w:ascii="黑体" w:hAnsi="黑体"/>
                <w:szCs w:val="21"/>
              </w:rPr>
              <w:t>15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四级</w:t>
            </w:r>
            <w:r>
              <w:rPr>
                <w:rFonts w:eastAsia="黑体" w:cs="黑体" w:ascii="黑体" w:hAnsi="黑体"/>
                <w:szCs w:val="21"/>
              </w:rPr>
              <w:t>20</w:t>
            </w:r>
            <w:r>
              <w:rPr>
                <w:rFonts w:ascii="黑体" w:hAnsi="黑体" w:cs="黑体" w:eastAsia="黑体"/>
                <w:szCs w:val="21"/>
              </w:rPr>
              <w:t>分；</w:t>
            </w:r>
          </w:p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五级</w:t>
            </w:r>
            <w:r>
              <w:rPr>
                <w:rFonts w:eastAsia="黑体" w:cs="黑体" w:ascii="黑体" w:hAnsi="黑体"/>
                <w:szCs w:val="21"/>
              </w:rPr>
              <w:t>25</w:t>
            </w:r>
            <w:r>
              <w:rPr>
                <w:rFonts w:ascii="黑体" w:hAnsi="黑体" w:cs="黑体" w:eastAsia="黑体"/>
                <w:szCs w:val="21"/>
              </w:rPr>
              <w:t>分</w:t>
            </w:r>
          </w:p>
        </w:tc>
        <w:tc>
          <w:tcPr>
            <w:tcW w:w="49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477" w:type="dxa"/>
            <w:gridSpan w:val="2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51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9" w:type="dxa"/>
            <w:vMerge w:val="continue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  <w:tc>
          <w:tcPr>
            <w:tcW w:w="2254" w:type="dxa"/>
            <w:gridSpan w:val="4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b/>
                <w:szCs w:val="21"/>
              </w:rPr>
              <w:t>加权合计</w:t>
            </w:r>
          </w:p>
        </w:tc>
        <w:tc>
          <w:tcPr>
            <w:tcW w:w="7148" w:type="dxa"/>
            <w:gridSpan w:val="9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</w:r>
          </w:p>
        </w:tc>
      </w:tr>
      <w:tr>
        <w:trPr>
          <w:trHeight w:val="340" w:hRule="atLeast"/>
          <w:cantSplit w:val="true"/>
        </w:trPr>
        <w:tc>
          <w:tcPr>
            <w:tcW w:w="519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</w:p>
        </w:tc>
        <w:tc>
          <w:tcPr>
            <w:tcW w:w="9402" w:type="dxa"/>
            <w:gridSpan w:val="13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总分</w:t>
            </w:r>
            <w:r>
              <w:rPr>
                <w:rFonts w:eastAsia="黑体" w:cs="黑体" w:ascii="黑体" w:hAnsi="黑体"/>
                <w:szCs w:val="21"/>
              </w:rPr>
              <w:t>=</w:t>
            </w:r>
            <w:r>
              <w:rPr>
                <w:rFonts w:ascii="黑体" w:hAnsi="黑体" w:cs="黑体" w:eastAsia="黑体"/>
                <w:szCs w:val="21"/>
              </w:rPr>
              <w:t>业绩考核得分</w:t>
            </w:r>
            <w:r>
              <w:rPr>
                <w:rFonts w:eastAsia="黑体" w:cs="黑体" w:ascii="黑体" w:hAnsi="黑体"/>
                <w:szCs w:val="21"/>
              </w:rPr>
              <w:t>×  %+</w:t>
            </w:r>
            <w:r>
              <w:rPr>
                <w:rFonts w:ascii="黑体" w:hAnsi="黑体" w:cs="黑体" w:eastAsia="黑体"/>
                <w:szCs w:val="21"/>
              </w:rPr>
              <w:t>行为考核得分</w:t>
            </w:r>
            <w:r>
              <w:rPr>
                <w:rFonts w:eastAsia="黑体" w:cs="黑体" w:ascii="黑体" w:hAnsi="黑体"/>
                <w:szCs w:val="21"/>
              </w:rPr>
              <w:t>×  %=</w:t>
            </w:r>
          </w:p>
        </w:tc>
      </w:tr>
      <w:tr>
        <w:trPr>
          <w:trHeight w:val="340" w:hRule="atLeast"/>
          <w:cantSplit w:val="true"/>
        </w:trPr>
        <w:tc>
          <w:tcPr>
            <w:tcW w:w="519" w:type="dxa"/>
            <w:tcBorders>
              <w:top w:val="single" w:sz="6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考核人</w:t>
            </w:r>
          </w:p>
        </w:tc>
        <w:tc>
          <w:tcPr>
            <w:tcW w:w="9402" w:type="dxa"/>
            <w:gridSpan w:val="13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黑体" w:hAnsi="黑体" w:eastAsia="黑体" w:cs="黑体"/>
                <w:szCs w:val="21"/>
              </w:rPr>
            </w:pPr>
            <w:r>
              <w:rPr>
                <w:rFonts w:eastAsia="黑体" w:cs="黑体" w:ascii="黑体" w:hAnsi="黑体"/>
                <w:szCs w:val="21"/>
              </w:rPr>
              <w:t xml:space="preserve">    </w:t>
            </w:r>
            <w:r>
              <w:rPr>
                <w:rFonts w:ascii="黑体" w:hAnsi="黑体" w:cs="黑体" w:eastAsia="黑体"/>
                <w:szCs w:val="21"/>
              </w:rPr>
              <w:t>签字：</w:t>
            </w:r>
          </w:p>
          <w:p>
            <w:pPr>
              <w:pStyle w:val="Normal"/>
              <w:ind w:firstLine="6300"/>
              <w:rPr>
                <w:rFonts w:ascii="黑体" w:hAnsi="黑体" w:eastAsia="黑体" w:cs="黑体"/>
                <w:szCs w:val="21"/>
              </w:rPr>
            </w:pPr>
            <w:r>
              <w:rPr>
                <w:rFonts w:ascii="黑体" w:hAnsi="黑体" w:cs="黑体" w:eastAsia="黑体"/>
                <w:szCs w:val="21"/>
              </w:rPr>
              <w:t>年    月    日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（二）考核成绩与奖金系数对应表</w:t>
      </w:r>
    </w:p>
    <w:tbl>
      <w:tblPr>
        <w:tblW w:w="8522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62"/>
        <w:gridCol w:w="5660"/>
      </w:tblGrid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考核分数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ascii="宋体" w:hAnsi="宋体" w:cs="宋体"/>
                <w:b/>
                <w:sz w:val="24"/>
                <w:szCs w:val="24"/>
              </w:rPr>
              <w:t>绩效工资系数（</w:t>
            </w:r>
            <w:r>
              <w:rPr>
                <w:rFonts w:cs="宋体" w:ascii="宋体" w:hAnsi="宋体"/>
                <w:b/>
                <w:sz w:val="24"/>
                <w:szCs w:val="24"/>
              </w:rPr>
              <w:t>K</w:t>
            </w:r>
            <w:r>
              <w:rPr>
                <w:rFonts w:ascii="宋体" w:hAnsi="宋体" w:cs="宋体"/>
                <w:b/>
                <w:sz w:val="24"/>
                <w:szCs w:val="24"/>
              </w:rPr>
              <w:t>）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95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分以上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1.2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90-94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1.0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85-89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0.9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80-84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0.8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75-79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0.7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70-74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0.6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65-69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0.5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60-64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0.4</w:t>
            </w:r>
          </w:p>
        </w:tc>
      </w:tr>
      <w:tr>
        <w:trPr/>
        <w:tc>
          <w:tcPr>
            <w:tcW w:w="28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 w:cs="宋体"/>
                <w:b/>
                <w:sz w:val="24"/>
                <w:szCs w:val="24"/>
              </w:rPr>
              <w:t>分以下</w:t>
            </w:r>
          </w:p>
        </w:tc>
        <w:tc>
          <w:tcPr>
            <w:tcW w:w="56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exact" w:line="440"/>
              <w:rPr>
                <w:rFonts w:ascii="宋体" w:hAnsi="宋体" w:cs="宋体"/>
                <w:b/>
                <w:b/>
                <w:sz w:val="24"/>
                <w:szCs w:val="24"/>
              </w:rPr>
            </w:pPr>
            <w:r>
              <w:rPr>
                <w:rFonts w:cs="宋体" w:ascii="宋体" w:hAnsi="宋体"/>
                <w:b/>
                <w:sz w:val="24"/>
                <w:szCs w:val="24"/>
              </w:rPr>
              <w:t>0</w:t>
            </w:r>
          </w:p>
        </w:tc>
      </w:tr>
    </w:tbl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注：考核奖金总额</w:t>
      </w:r>
      <w:r>
        <w:rPr>
          <w:rFonts w:cs="宋体" w:ascii="宋体" w:hAnsi="宋体"/>
          <w:b/>
          <w:sz w:val="24"/>
          <w:szCs w:val="24"/>
        </w:rPr>
        <w:t>=</w:t>
      </w:r>
      <w:r>
        <w:rPr>
          <w:rFonts w:ascii="宋体" w:hAnsi="宋体" w:cs="宋体"/>
          <w:b/>
          <w:sz w:val="24"/>
          <w:szCs w:val="24"/>
        </w:rPr>
        <w:t>考核奖金基数</w:t>
      </w:r>
      <w:r>
        <w:rPr>
          <w:rFonts w:cs="宋体" w:ascii="宋体" w:hAnsi="宋体"/>
          <w:b/>
          <w:sz w:val="24"/>
          <w:szCs w:val="24"/>
        </w:rPr>
        <w:t>×K</w:t>
      </w:r>
      <w:r>
        <w:rPr>
          <w:rFonts w:ascii="宋体" w:hAnsi="宋体" w:cs="宋体"/>
          <w:b/>
          <w:sz w:val="24"/>
          <w:szCs w:val="24"/>
        </w:rPr>
        <w:t>；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五、乙方义务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、乙方必须保守甲方的商业信息，如有泄漏商业信息要追究乙方的法律责任；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、乙方在工作期间，不得利用职权进行违规作业；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、乙方若工作非常突出，贡献较大，甲方可适当对乙方进行额外嘉奖；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、若乙方在不满服务期主动离开公司，则取消服务期满后的绩效奖励资格；若乙方在不满服务期被动离开公司，则按服务的期限考核兑现。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</w:r>
    </w:p>
    <w:p>
      <w:pPr>
        <w:pStyle w:val="Normal"/>
        <w:numPr>
          <w:ilvl w:val="0"/>
          <w:numId w:val="1"/>
        </w:numPr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电网指标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公物私用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不按标准用人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回扣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非公司行为行贿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泄露机密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公款私用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虚报假账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旷工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煽动虚假消息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利用信息获得私人利益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销毁证据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虚假预算获得物质开支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违反品行指标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利用职务之便制造假数据获得利益</w:t>
      </w:r>
    </w:p>
    <w:p>
      <w:pPr>
        <w:pStyle w:val="Normal"/>
        <w:numPr>
          <w:ilvl w:val="0"/>
          <w:numId w:val="2"/>
        </w:numPr>
        <w:spacing w:lineRule="auto" w:line="36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违法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 xml:space="preserve">  </w:t>
      </w:r>
      <w:r>
        <w:rPr>
          <w:rFonts w:ascii="宋体" w:hAnsi="宋体" w:cs="宋体"/>
          <w:b/>
          <w:sz w:val="24"/>
          <w:szCs w:val="24"/>
        </w:rPr>
        <w:t>乙方触及电网指标</w:t>
      </w:r>
      <w:r>
        <w:rPr>
          <w:rFonts w:cs="宋体" w:ascii="宋体" w:hAnsi="宋体"/>
          <w:b/>
          <w:sz w:val="24"/>
          <w:szCs w:val="24"/>
        </w:rPr>
        <w:t>,</w:t>
      </w:r>
      <w:r>
        <w:rPr>
          <w:rFonts w:ascii="宋体" w:hAnsi="宋体" w:cs="宋体"/>
          <w:b/>
          <w:sz w:val="24"/>
          <w:szCs w:val="24"/>
        </w:rPr>
        <w:t>甲方有权对乙方进行停职、降职、降薪、换岗、调离或解约。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七、其他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1</w:t>
      </w:r>
      <w:r>
        <w:rPr>
          <w:rFonts w:ascii="宋体" w:hAnsi="宋体" w:cs="宋体"/>
          <w:sz w:val="24"/>
          <w:szCs w:val="24"/>
        </w:rPr>
        <w:t>、本责任书一式二份，甲乙双方各执一份；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2</w:t>
      </w:r>
      <w:r>
        <w:rPr>
          <w:rFonts w:ascii="宋体" w:hAnsi="宋体" w:cs="宋体"/>
          <w:sz w:val="24"/>
          <w:szCs w:val="24"/>
        </w:rPr>
        <w:t>、如果中间有变化，经双方友好协商调整。</w:t>
      </w:r>
    </w:p>
    <w:p>
      <w:pPr>
        <w:pStyle w:val="Normal"/>
        <w:spacing w:lineRule="exact" w:line="440"/>
        <w:rPr>
          <w:rFonts w:ascii="宋体" w:hAnsi="宋体" w:cs="宋体"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3</w:t>
      </w:r>
      <w:r>
        <w:rPr>
          <w:rFonts w:ascii="宋体" w:hAnsi="宋体" w:cs="宋体"/>
          <w:sz w:val="24"/>
          <w:szCs w:val="24"/>
        </w:rPr>
        <w:t>、如岗位变更，工资也随之变化。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sz w:val="24"/>
          <w:szCs w:val="24"/>
        </w:rPr>
        <w:t>4</w:t>
      </w:r>
      <w:r>
        <w:rPr>
          <w:rFonts w:ascii="宋体" w:hAnsi="宋体" w:cs="宋体"/>
          <w:sz w:val="24"/>
          <w:szCs w:val="24"/>
        </w:rPr>
        <w:t>、未尽事宜双方协商确定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甲方：                           乙方： （签字盖章）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>签名 ：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签名（第一负责人）：                        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ascii="宋体" w:hAnsi="宋体" w:cs="宋体"/>
          <w:b/>
          <w:sz w:val="24"/>
          <w:szCs w:val="24"/>
        </w:rPr>
        <w:t xml:space="preserve">年     月    日                              年     月    日 </w:t>
      </w:r>
    </w:p>
    <w:p>
      <w:pPr>
        <w:pStyle w:val="Normal"/>
        <w:spacing w:lineRule="exact" w:line="440"/>
        <w:rPr>
          <w:rFonts w:ascii="宋体" w:hAnsi="宋体" w:cs="宋体"/>
          <w:b/>
          <w:b/>
          <w:sz w:val="24"/>
          <w:szCs w:val="24"/>
        </w:rPr>
      </w:pPr>
      <w:r>
        <w:rPr>
          <w:rFonts w:cs="宋体" w:ascii="宋体" w:hAnsi="宋体"/>
          <w:b/>
          <w:sz w:val="24"/>
          <w:szCs w:val="24"/>
        </w:rPr>
      </w:r>
    </w:p>
    <w:sectPr>
      <w:headerReference w:type="default" r:id="rId2"/>
      <w:footerReference w:type="default" r:id="rId3"/>
      <w:headerReference w:type="first" r:id="rId7"/>
      <w:headerReference w:type="even" r:id="rId8"/>
      <w:footerReference w:type="first" r:id="rId9"/>
      <w:footerReference w:type="even" r:id="rId10"/>
      <w:type w:val="nextPage"/>
      <w:pgSz w:w="11906" w:h="16838"/>
      <w:pgMar w:left="1800" w:right="1800" w:header="851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宋体">
    <w:charset w:val="86"/>
    <w:family w:val="auto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end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7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57785" cy="126365"/>
              <wp:effectExtent l="0" t="0" r="0" b="0"/>
              <wp:wrapSquare wrapText="largest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2636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/>
                          </w:pPr>
                          <w:r>
                            <w:rPr/>
                            <w:fldChar w:fldCharType="begin"/>
                          </w:r>
                          <w:r>
                            <w:rPr/>
                            <w:instrText> PAGE </w:instrText>
                          </w:r>
                          <w:r>
                            <w:rPr/>
                            <w:fldChar w:fldCharType="separate"/>
                          </w:r>
                          <w:r>
                            <w:rPr/>
                            <w:t>6</w:t>
                          </w:r>
                          <w:r>
                            <w:rPr/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4.55pt;height:9.95pt;mso-wrap-distance-left:0pt;mso-wrap-distance-right:0pt;mso-wrap-distance-top:0pt;mso-wrap-distance-bottom:0pt;margin-top:0pt;mso-position-vertical:top;mso-position-vertical-relative:text;margin-left:410.7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/>
                    </w:pPr>
                    <w:r>
                      <w:rPr/>
                      <w:fldChar w:fldCharType="begin"/>
                    </w:r>
                    <w:r>
                      <w:rPr/>
                      <w:instrText> PAGE </w:instrText>
                    </w:r>
                    <w:r>
                      <w:rPr/>
                      <w:fldChar w:fldCharType="separate"/>
                    </w:r>
                    <w:r>
                      <w:rPr/>
                      <w:t>6</w:t>
                    </w:r>
                    <w:r>
                      <w:rPr/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pBdr/>
      <w:rPr/>
    </w:pPr>
    <w:r>
      <w:rPr/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"/>
      <w:numFmt w:val="chineseCountingThousand"/>
      <w:lvlText w:val="%1、"/>
      <w:lvlJc w:val="start"/>
      <w:pPr>
        <w:tabs>
          <w:tab w:val="num" w:pos="0"/>
        </w:tabs>
        <w:ind w:start="510" w:hanging="51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2">
    <w:lvl w:ilvl="0">
      <w:start w:val="1"/>
      <w:numFmt w:val="decimal"/>
      <w:lvlText w:val="%1、"/>
      <w:lvlJc w:val="start"/>
      <w:pPr>
        <w:tabs>
          <w:tab w:val="num" w:pos="0"/>
        </w:tabs>
        <w:ind w:start="360" w:hanging="360"/>
      </w:pPr>
      <w:rPr/>
    </w:lvl>
    <w:lvl w:ilvl="1">
      <w:start w:val="1"/>
      <w:numFmt w:val="lowerLetter"/>
      <w:lvlText w:val="%2)"/>
      <w:lvlJc w:val="start"/>
      <w:pPr>
        <w:tabs>
          <w:tab w:val="num" w:pos="0"/>
        </w:tabs>
        <w:ind w:start="840" w:hanging="42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1260" w:hanging="42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680" w:hanging="420"/>
      </w:pPr>
      <w:rPr/>
    </w:lvl>
    <w:lvl w:ilvl="4">
      <w:start w:val="1"/>
      <w:numFmt w:val="lowerLetter"/>
      <w:lvlText w:val="%5)"/>
      <w:lvlJc w:val="start"/>
      <w:pPr>
        <w:tabs>
          <w:tab w:val="num" w:pos="0"/>
        </w:tabs>
        <w:ind w:start="2100" w:hanging="42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2520" w:hanging="42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940" w:hanging="420"/>
      </w:pPr>
      <w:rPr/>
    </w:lvl>
    <w:lvl w:ilvl="7">
      <w:start w:val="1"/>
      <w:numFmt w:val="lowerLetter"/>
      <w:lvlText w:val="%8)"/>
      <w:lvlJc w:val="start"/>
      <w:pPr>
        <w:tabs>
          <w:tab w:val="num" w:pos="0"/>
        </w:tabs>
        <w:ind w:start="3360" w:hanging="42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3780" w:hanging="420"/>
      </w:pPr>
      <w:rPr/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80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" w:cs="Times New Roman"/>
      <w:color w:val="auto"/>
      <w:kern w:val="2"/>
      <w:sz w:val="21"/>
      <w:szCs w:val="20"/>
      <w:lang w:val="en-US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4">
    <w:name w:val="默认段落字体"/>
    <w:qFormat/>
    <w:rPr/>
  </w:style>
  <w:style w:type="character" w:styleId="Char">
    <w:name w:val="日期 Char"/>
    <w:qFormat/>
    <w:rPr>
      <w:rFonts w:ascii="宋体" w:hAnsi="宋体" w:cs="宋体"/>
      <w:bCs/>
      <w:kern w:val="2"/>
      <w:sz w:val="21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/>
      <w:tabs>
        <w:tab w:val="clear" w:pos="420"/>
        <w:tab w:val="center" w:pos="4153" w:leader="none"/>
        <w:tab w:val="right" w:pos="8306" w:leader="none"/>
      </w:tabs>
      <w:snapToGrid w:val="false"/>
      <w:spacing w:lineRule="auto" w:line="240"/>
      <w:jc w:val="both"/>
    </w:pPr>
    <w:rPr>
      <w:rFonts w:ascii="Times New Roman" w:hAnsi="Times New Roman" w:cs="Times New Roman"/>
      <w:sz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</w:rPr>
  </w:style>
  <w:style w:type="paragraph" w:styleId="Style15">
    <w:name w:val="日期"/>
    <w:basedOn w:val="Normal"/>
    <w:next w:val="Normal"/>
    <w:qFormat/>
    <w:pPr/>
    <w:rPr>
      <w:rFonts w:ascii="宋体" w:hAnsi="宋体" w:cs="宋体"/>
      <w:bCs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2.xml"/><Relationship Id="rId10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2012-12-26T20:52:00Z</dcterms:created>
  <dc:creator>xxm</dc:creator>
  <dc:description/>
  <dc:language>en-US</dc:language>
  <cp:lastModifiedBy>Administrator</cp:lastModifiedBy>
  <dcterms:modified xsi:type="dcterms:W3CDTF">2020-06-10T10:22:03Z</dcterms:modified>
  <cp:revision>38</cp:revision>
  <dc:subject/>
  <dc:title>2009年工作目标考核协议书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