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snapToGrid/>
        <w:spacing w:line="360" w:lineRule="auto"/>
        <w:jc w:val="center"/>
        <w:textAlignment w:val="auto"/>
        <w:rPr>
          <w:rFonts w:ascii="微软雅黑" w:hAnsi="微软雅黑" w:eastAsia="微软雅黑"/>
          <w:b/>
          <w:sz w:val="40"/>
          <w:szCs w:val="40"/>
          <w:highlight w:val="yellow"/>
        </w:rPr>
      </w:pPr>
      <w:r>
        <w:rPr>
          <w:rFonts w:hint="eastAsia" w:ascii="微软雅黑" w:hAnsi="微软雅黑" w:eastAsia="微软雅黑"/>
          <w:b/>
          <w:sz w:val="40"/>
          <w:szCs w:val="40"/>
          <w:highlight w:val="yellow"/>
        </w:rPr>
        <w:t>月度PPC绩效管理制度</w:t>
      </w:r>
    </w:p>
    <w:p>
      <w:pPr>
        <w:pStyle w:val="2"/>
        <w:pageBreakBefore w:val="0"/>
        <w:widowControl w:val="0"/>
        <w:kinsoku/>
        <w:wordWrap/>
        <w:overflowPunct/>
        <w:topLinePunct w:val="0"/>
        <w:bidi w:val="0"/>
        <w:adjustRightInd/>
        <w:snapToGrid/>
        <w:spacing w:line="360" w:lineRule="auto"/>
        <w:textAlignment w:val="auto"/>
        <w:rPr>
          <w:rFonts w:asciiTheme="minorEastAsia" w:hAnsiTheme="minorEastAsia" w:eastAsiaTheme="minorEastAsia"/>
          <w:szCs w:val="24"/>
        </w:rPr>
      </w:pPr>
      <w:bookmarkStart w:id="0" w:name="_Toc13120"/>
      <w:bookmarkStart w:id="1" w:name="_Toc30829"/>
      <w:bookmarkStart w:id="2" w:name="_Toc10275"/>
      <w:bookmarkStart w:id="3" w:name="_Toc23901"/>
      <w:bookmarkStart w:id="4" w:name="_Toc11771"/>
      <w:bookmarkStart w:id="5" w:name="_Toc13960"/>
      <w:bookmarkStart w:id="6" w:name="_Toc7117"/>
      <w:bookmarkStart w:id="7" w:name="_Toc21976"/>
      <w:bookmarkStart w:id="8" w:name="_Toc28900"/>
      <w:bookmarkStart w:id="9" w:name="_Toc6379"/>
      <w:bookmarkStart w:id="10" w:name="_Toc5207"/>
      <w:bookmarkStart w:id="11" w:name="_Toc19079"/>
      <w:bookmarkStart w:id="12" w:name="_Toc31506"/>
      <w:bookmarkStart w:id="13" w:name="_Toc21359"/>
      <w:bookmarkStart w:id="14" w:name="_Toc11719"/>
      <w:bookmarkStart w:id="15" w:name="_Toc7910"/>
      <w:bookmarkStart w:id="16" w:name="_Toc2537"/>
      <w:bookmarkStart w:id="17" w:name="_Toc6140"/>
      <w:bookmarkStart w:id="18" w:name="_Toc25326"/>
      <w:bookmarkStart w:id="19" w:name="_Toc26523"/>
      <w:bookmarkStart w:id="20" w:name="_Toc19392"/>
      <w:bookmarkStart w:id="21" w:name="_Toc25156"/>
      <w:bookmarkStart w:id="22" w:name="_Toc15767"/>
      <w:bookmarkStart w:id="23" w:name="_Toc5586"/>
      <w:bookmarkStart w:id="24" w:name="_Toc17200"/>
      <w:bookmarkStart w:id="25" w:name="_Toc31700"/>
      <w:bookmarkStart w:id="26" w:name="_Toc5315"/>
      <w:bookmarkStart w:id="27" w:name="_Toc3709"/>
      <w:bookmarkStart w:id="28" w:name="_Toc8387"/>
      <w:r>
        <w:rPr>
          <w:rFonts w:hint="eastAsia" w:asciiTheme="minorEastAsia" w:hAnsiTheme="minorEastAsia" w:eastAsiaTheme="minorEastAsia"/>
          <w:szCs w:val="24"/>
        </w:rPr>
        <w:t>1.目标</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ageBreakBefore w:val="0"/>
        <w:widowControl w:val="0"/>
        <w:kinsoku/>
        <w:wordWrap/>
        <w:overflowPunct/>
        <w:topLinePunct w:val="0"/>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规范员工绩效激励机制，</w:t>
      </w:r>
      <w:r>
        <w:rPr>
          <w:rFonts w:hint="eastAsia" w:asciiTheme="minorEastAsia" w:hAnsiTheme="minorEastAsia"/>
          <w:sz w:val="24"/>
          <w:szCs w:val="24"/>
          <w:lang w:val="zh-CN"/>
        </w:rPr>
        <w:t>增进上下级沟通和团队向心力，引导持续地工作改进和能力提升，</w:t>
      </w:r>
      <w:r>
        <w:rPr>
          <w:rFonts w:hint="eastAsia" w:asciiTheme="minorEastAsia" w:hAnsiTheme="minorEastAsia"/>
          <w:sz w:val="24"/>
          <w:szCs w:val="24"/>
        </w:rPr>
        <w:t>形成良好的绩效文化，</w:t>
      </w:r>
      <w:r>
        <w:rPr>
          <w:rFonts w:hint="eastAsia" w:asciiTheme="minorEastAsia" w:hAnsiTheme="minorEastAsia"/>
          <w:sz w:val="24"/>
          <w:szCs w:val="24"/>
          <w:lang w:val="zh-CN"/>
        </w:rPr>
        <w:t>从而不断地提升公司的整体绩效。</w:t>
      </w:r>
    </w:p>
    <w:p>
      <w:pPr>
        <w:pStyle w:val="2"/>
        <w:pageBreakBefore w:val="0"/>
        <w:widowControl w:val="0"/>
        <w:kinsoku/>
        <w:wordWrap/>
        <w:overflowPunct/>
        <w:topLinePunct w:val="0"/>
        <w:bidi w:val="0"/>
        <w:adjustRightInd/>
        <w:snapToGrid/>
        <w:spacing w:line="360" w:lineRule="auto"/>
        <w:jc w:val="both"/>
        <w:textAlignment w:val="auto"/>
        <w:rPr>
          <w:rFonts w:cs="宋体" w:asciiTheme="minorEastAsia" w:hAnsiTheme="minorEastAsia" w:eastAsiaTheme="minorEastAsia"/>
          <w:szCs w:val="24"/>
        </w:rPr>
      </w:pPr>
      <w:bookmarkStart w:id="29" w:name="_Toc9736"/>
      <w:bookmarkStart w:id="30" w:name="_Toc6082"/>
      <w:bookmarkStart w:id="31" w:name="_Toc12139"/>
      <w:bookmarkStart w:id="32" w:name="_Toc17654"/>
      <w:bookmarkStart w:id="33" w:name="_Toc14231"/>
      <w:bookmarkStart w:id="34" w:name="_Toc80"/>
      <w:bookmarkStart w:id="35" w:name="_Toc1962"/>
      <w:bookmarkStart w:id="36" w:name="_Toc25860"/>
      <w:bookmarkStart w:id="37" w:name="_Toc16938"/>
      <w:bookmarkStart w:id="38" w:name="_Toc7833"/>
      <w:bookmarkStart w:id="39" w:name="_Toc17221"/>
      <w:bookmarkStart w:id="40" w:name="_Toc22890"/>
      <w:bookmarkStart w:id="41" w:name="_Toc20478"/>
      <w:bookmarkStart w:id="42" w:name="_Toc10102"/>
      <w:bookmarkStart w:id="43" w:name="_Toc16311"/>
      <w:bookmarkStart w:id="44" w:name="_Toc12102"/>
      <w:bookmarkStart w:id="45" w:name="_Toc14523"/>
      <w:bookmarkStart w:id="46" w:name="_Toc11499"/>
      <w:bookmarkStart w:id="47" w:name="_Toc28674"/>
      <w:bookmarkStart w:id="48" w:name="_Toc1788"/>
      <w:bookmarkStart w:id="49" w:name="_Toc18880"/>
      <w:bookmarkStart w:id="50" w:name="_Toc31734"/>
      <w:bookmarkStart w:id="51" w:name="_Toc18067"/>
      <w:bookmarkStart w:id="52" w:name="_Toc16600"/>
      <w:bookmarkStart w:id="53" w:name="_Toc19057"/>
      <w:bookmarkStart w:id="54" w:name="_Toc9626"/>
      <w:bookmarkStart w:id="55" w:name="_Toc6146"/>
      <w:bookmarkStart w:id="56" w:name="_Toc9827"/>
      <w:bookmarkStart w:id="57" w:name="_Toc22761"/>
      <w:r>
        <w:rPr>
          <w:rFonts w:hint="eastAsia" w:cs="宋体" w:asciiTheme="minorEastAsia" w:hAnsiTheme="minorEastAsia" w:eastAsiaTheme="minorEastAsia"/>
          <w:szCs w:val="24"/>
        </w:rPr>
        <w:t>2.适用范围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ageBreakBefore w:val="0"/>
        <w:widowControl w:val="0"/>
        <w:kinsoku/>
        <w:wordWrap/>
        <w:overflowPunct/>
        <w:topLinePunct w:val="0"/>
        <w:bidi w:val="0"/>
        <w:adjustRightInd/>
        <w:snapToGrid/>
        <w:spacing w:line="360" w:lineRule="auto"/>
        <w:ind w:firstLine="480"/>
        <w:jc w:val="left"/>
        <w:textAlignment w:val="auto"/>
        <w:rPr>
          <w:rFonts w:asciiTheme="minorEastAsia" w:hAnsiTheme="minorEastAsia"/>
          <w:sz w:val="24"/>
          <w:szCs w:val="24"/>
        </w:rPr>
      </w:pPr>
      <w:r>
        <w:rPr>
          <w:rFonts w:hint="eastAsia" w:asciiTheme="minorEastAsia" w:hAnsiTheme="minorEastAsia"/>
          <w:sz w:val="24"/>
          <w:szCs w:val="24"/>
        </w:rPr>
        <w:t>在月度考核期开始前转正的员工。其中，不包含部分业务员、客服、数据等使用其他月度业绩考核方案的员工。</w:t>
      </w:r>
    </w:p>
    <w:p>
      <w:pPr>
        <w:pageBreakBefore w:val="0"/>
        <w:widowControl w:val="0"/>
        <w:kinsoku/>
        <w:wordWrap/>
        <w:overflowPunct/>
        <w:topLinePunct w:val="0"/>
        <w:bidi w:val="0"/>
        <w:adjustRightInd/>
        <w:snapToGrid/>
        <w:spacing w:line="360" w:lineRule="auto"/>
        <w:ind w:firstLine="480"/>
        <w:jc w:val="left"/>
        <w:textAlignment w:val="auto"/>
        <w:rPr>
          <w:rFonts w:asciiTheme="minorEastAsia" w:hAnsiTheme="minorEastAsia"/>
          <w:sz w:val="24"/>
          <w:szCs w:val="24"/>
        </w:rPr>
      </w:pPr>
      <w:r>
        <w:rPr>
          <w:rFonts w:hint="eastAsia" w:asciiTheme="minorEastAsia" w:hAnsiTheme="minorEastAsia"/>
          <w:sz w:val="24"/>
          <w:szCs w:val="24"/>
        </w:rPr>
        <w:t>注：月中转正的员工，当月</w:t>
      </w:r>
      <w:bookmarkStart w:id="119" w:name="_GoBack"/>
      <w:bookmarkEnd w:id="119"/>
      <w:r>
        <w:rPr>
          <w:rFonts w:hint="eastAsia" w:asciiTheme="minorEastAsia" w:hAnsiTheme="minorEastAsia"/>
          <w:sz w:val="24"/>
          <w:szCs w:val="24"/>
        </w:rPr>
        <w:t>绩效系数为1，次月开始执行此制度。</w:t>
      </w:r>
    </w:p>
    <w:p>
      <w:pPr>
        <w:pStyle w:val="2"/>
        <w:pageBreakBefore w:val="0"/>
        <w:widowControl w:val="0"/>
        <w:kinsoku/>
        <w:wordWrap/>
        <w:overflowPunct/>
        <w:topLinePunct w:val="0"/>
        <w:bidi w:val="0"/>
        <w:adjustRightInd/>
        <w:snapToGrid/>
        <w:spacing w:line="360" w:lineRule="auto"/>
        <w:jc w:val="both"/>
        <w:textAlignment w:val="auto"/>
        <w:rPr>
          <w:rFonts w:cs="宋体" w:asciiTheme="minorEastAsia" w:hAnsiTheme="minorEastAsia" w:eastAsiaTheme="minorEastAsia"/>
          <w:szCs w:val="24"/>
        </w:rPr>
      </w:pPr>
      <w:bookmarkStart w:id="58" w:name="_Toc12467"/>
      <w:bookmarkStart w:id="59" w:name="_Toc11828"/>
      <w:bookmarkStart w:id="60" w:name="_Toc7345"/>
      <w:bookmarkStart w:id="61" w:name="_Toc21610"/>
      <w:bookmarkStart w:id="62" w:name="_Toc27861"/>
      <w:bookmarkStart w:id="63" w:name="_Toc18214"/>
      <w:bookmarkStart w:id="64" w:name="_Toc23860"/>
      <w:bookmarkStart w:id="65" w:name="_Toc18121"/>
      <w:bookmarkStart w:id="66" w:name="_Toc7389"/>
      <w:bookmarkStart w:id="67" w:name="_Toc23598"/>
      <w:bookmarkStart w:id="68" w:name="_Toc1312"/>
      <w:bookmarkStart w:id="69" w:name="_Toc29667"/>
      <w:bookmarkStart w:id="70" w:name="_Toc22182"/>
      <w:bookmarkStart w:id="71" w:name="_Toc9039"/>
      <w:bookmarkStart w:id="72" w:name="_Toc15049"/>
      <w:bookmarkStart w:id="73" w:name="_Toc29815"/>
      <w:bookmarkStart w:id="74" w:name="_Toc13008"/>
      <w:bookmarkStart w:id="75" w:name="_Toc29006"/>
      <w:bookmarkStart w:id="76" w:name="_Toc26373"/>
      <w:bookmarkStart w:id="77" w:name="_Toc20613"/>
      <w:bookmarkStart w:id="78" w:name="_Toc31482"/>
      <w:bookmarkStart w:id="79" w:name="_Toc14060"/>
      <w:bookmarkStart w:id="80" w:name="_Toc1970"/>
      <w:bookmarkStart w:id="81" w:name="_Toc17502"/>
      <w:bookmarkStart w:id="82" w:name="_Toc21827"/>
      <w:bookmarkStart w:id="83" w:name="_Toc27690"/>
      <w:bookmarkStart w:id="84" w:name="_Toc3774"/>
      <w:bookmarkStart w:id="85" w:name="_Toc2758"/>
      <w:bookmarkStart w:id="86" w:name="_Toc27540"/>
      <w:r>
        <w:rPr>
          <w:rFonts w:hint="eastAsia" w:cs="宋体" w:asciiTheme="minorEastAsia" w:hAnsiTheme="minorEastAsia" w:eastAsiaTheme="minorEastAsia"/>
          <w:szCs w:val="24"/>
        </w:rPr>
        <w:t>3.</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cs="宋体" w:asciiTheme="minorEastAsia" w:hAnsiTheme="minorEastAsia" w:eastAsiaTheme="minorEastAsia"/>
          <w:szCs w:val="24"/>
        </w:rPr>
        <w:t xml:space="preserve">主要原则                          </w:t>
      </w:r>
    </w:p>
    <w:p>
      <w:pPr>
        <w:pStyle w:val="11"/>
        <w:pageBreakBefore w:val="0"/>
        <w:widowControl w:val="0"/>
        <w:numPr>
          <w:ilvl w:val="0"/>
          <w:numId w:val="1"/>
        </w:numPr>
        <w:kinsoku/>
        <w:wordWrap/>
        <w:overflowPunct/>
        <w:topLinePunct w:val="0"/>
        <w:autoSpaceDE w:val="0"/>
        <w:autoSpaceDN w:val="0"/>
        <w:bidi w:val="0"/>
        <w:adjustRightInd/>
        <w:snapToGrid/>
        <w:spacing w:line="360" w:lineRule="auto"/>
        <w:ind w:firstLineChars="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目标计划原则：绩效目标必须在考核期开始前，经上下级双方共同确认；</w:t>
      </w:r>
    </w:p>
    <w:p>
      <w:pPr>
        <w:pStyle w:val="11"/>
        <w:pageBreakBefore w:val="0"/>
        <w:widowControl w:val="0"/>
        <w:numPr>
          <w:ilvl w:val="0"/>
          <w:numId w:val="1"/>
        </w:numPr>
        <w:kinsoku/>
        <w:wordWrap/>
        <w:overflowPunct/>
        <w:topLinePunct w:val="0"/>
        <w:autoSpaceDE w:val="0"/>
        <w:autoSpaceDN w:val="0"/>
        <w:bidi w:val="0"/>
        <w:adjustRightInd/>
        <w:snapToGrid/>
        <w:spacing w:line="360" w:lineRule="auto"/>
        <w:ind w:firstLineChars="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客观事实原则：绩效结果须反映被考核人的实际工作表现，切忌带有个</w:t>
      </w:r>
    </w:p>
    <w:p>
      <w:pPr>
        <w:pageBreakBefore w:val="0"/>
        <w:widowControl w:val="0"/>
        <w:kinsoku/>
        <w:wordWrap/>
        <w:overflowPunct/>
        <w:topLinePunct w:val="0"/>
        <w:autoSpaceDE w:val="0"/>
        <w:autoSpaceDN w:val="0"/>
        <w:bidi w:val="0"/>
        <w:adjustRightInd/>
        <w:snapToGrid/>
        <w:spacing w:line="360" w:lineRule="auto"/>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人主观因素；</w:t>
      </w:r>
    </w:p>
    <w:p>
      <w:pPr>
        <w:pStyle w:val="11"/>
        <w:pageBreakBefore w:val="0"/>
        <w:widowControl w:val="0"/>
        <w:numPr>
          <w:ilvl w:val="0"/>
          <w:numId w:val="1"/>
        </w:numPr>
        <w:kinsoku/>
        <w:wordWrap/>
        <w:overflowPunct/>
        <w:topLinePunct w:val="0"/>
        <w:autoSpaceDE w:val="0"/>
        <w:autoSpaceDN w:val="0"/>
        <w:bidi w:val="0"/>
        <w:adjustRightInd/>
        <w:snapToGrid/>
        <w:spacing w:line="360" w:lineRule="auto"/>
        <w:ind w:firstLineChars="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绩效反馈原则：考核人接绩效部确认的最终考核结果后，需在3个工作</w:t>
      </w:r>
    </w:p>
    <w:p>
      <w:pPr>
        <w:pageBreakBefore w:val="0"/>
        <w:widowControl w:val="0"/>
        <w:kinsoku/>
        <w:wordWrap/>
        <w:overflowPunct/>
        <w:topLinePunct w:val="0"/>
        <w:autoSpaceDE w:val="0"/>
        <w:autoSpaceDN w:val="0"/>
        <w:bidi w:val="0"/>
        <w:adjustRightInd/>
        <w:snapToGrid/>
        <w:spacing w:line="360" w:lineRule="auto"/>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日内下达考核结果，并及时与被考核人沟通，对其提出的疑问做出合理解释；</w:t>
      </w:r>
    </w:p>
    <w:p>
      <w:pPr>
        <w:pStyle w:val="11"/>
        <w:pageBreakBefore w:val="0"/>
        <w:widowControl w:val="0"/>
        <w:numPr>
          <w:ilvl w:val="0"/>
          <w:numId w:val="1"/>
        </w:numPr>
        <w:kinsoku/>
        <w:wordWrap/>
        <w:overflowPunct/>
        <w:topLinePunct w:val="0"/>
        <w:autoSpaceDE w:val="0"/>
        <w:autoSpaceDN w:val="0"/>
        <w:bidi w:val="0"/>
        <w:adjustRightInd/>
        <w:snapToGrid/>
        <w:spacing w:line="360" w:lineRule="auto"/>
        <w:ind w:firstLineChars="0"/>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绩效改进原则：</w:t>
      </w:r>
      <w:r>
        <w:rPr>
          <w:rFonts w:hint="eastAsia" w:asciiTheme="minorEastAsia" w:hAnsiTheme="minorEastAsia"/>
          <w:sz w:val="24"/>
          <w:szCs w:val="24"/>
        </w:rPr>
        <w:t>绩效辅导与改进须贯穿整个绩效管理过程，从绩效目标</w:t>
      </w:r>
    </w:p>
    <w:p>
      <w:pPr>
        <w:pageBreakBefore w:val="0"/>
        <w:widowControl w:val="0"/>
        <w:kinsoku/>
        <w:wordWrap/>
        <w:overflowPunct/>
        <w:topLinePunct w:val="0"/>
        <w:autoSpaceDE w:val="0"/>
        <w:autoSpaceDN w:val="0"/>
        <w:bidi w:val="0"/>
        <w:adjustRightInd/>
        <w:snapToGrid/>
        <w:spacing w:line="360" w:lineRule="auto"/>
        <w:jc w:val="left"/>
        <w:textAlignment w:val="auto"/>
        <w:rPr>
          <w:rFonts w:cs="Times New Roman" w:asciiTheme="minorEastAsia" w:hAnsiTheme="minorEastAsia"/>
          <w:sz w:val="24"/>
          <w:szCs w:val="24"/>
        </w:rPr>
      </w:pPr>
      <w:r>
        <w:rPr>
          <w:rFonts w:hint="eastAsia" w:asciiTheme="minorEastAsia" w:hAnsiTheme="minorEastAsia"/>
          <w:sz w:val="24"/>
          <w:szCs w:val="24"/>
        </w:rPr>
        <w:t>的制定、实施、验证、纠偏到设定新目标各环节。</w:t>
      </w:r>
    </w:p>
    <w:p>
      <w:pPr>
        <w:pageBreakBefore w:val="0"/>
        <w:widowControl w:val="0"/>
        <w:kinsoku/>
        <w:wordWrap/>
        <w:overflowPunct/>
        <w:topLinePunct w:val="0"/>
        <w:bidi w:val="0"/>
        <w:adjustRightInd/>
        <w:snapToGrid/>
        <w:spacing w:line="360" w:lineRule="auto"/>
        <w:jc w:val="left"/>
        <w:textAlignment w:val="auto"/>
        <w:rPr>
          <w:rFonts w:cs="Times New Roman" w:asciiTheme="minorEastAsia" w:hAnsiTheme="minorEastAsia"/>
          <w:b/>
          <w:sz w:val="24"/>
          <w:szCs w:val="24"/>
        </w:rPr>
      </w:pPr>
      <w:r>
        <w:rPr>
          <w:rFonts w:hint="eastAsia" w:cs="Times New Roman" w:asciiTheme="minorEastAsia" w:hAnsiTheme="minorEastAsia"/>
          <w:b/>
          <w:sz w:val="24"/>
          <w:szCs w:val="24"/>
        </w:rPr>
        <w:t>4.实施流程</w:t>
      </w:r>
      <w:bookmarkStart w:id="87" w:name="_Toc22016"/>
      <w:bookmarkStart w:id="88" w:name="_Toc25876"/>
      <w:bookmarkStart w:id="89" w:name="_Toc31533"/>
      <w:bookmarkStart w:id="90" w:name="_Toc19631"/>
      <w:bookmarkStart w:id="91" w:name="_Toc29926"/>
    </w:p>
    <w:p>
      <w:pPr>
        <w:pageBreakBefore w:val="0"/>
        <w:widowControl w:val="0"/>
        <w:kinsoku/>
        <w:wordWrap/>
        <w:overflowPunct/>
        <w:topLinePunct w:val="0"/>
        <w:bidi w:val="0"/>
        <w:adjustRightInd/>
        <w:snapToGrid/>
        <w:spacing w:line="360" w:lineRule="auto"/>
        <w:jc w:val="left"/>
        <w:textAlignment w:val="auto"/>
        <w:rPr>
          <w:rFonts w:cs="Times New Roman" w:asciiTheme="minorEastAsia" w:hAnsiTheme="minorEastAsia"/>
          <w:b/>
          <w:sz w:val="24"/>
          <w:szCs w:val="24"/>
        </w:rPr>
      </w:pPr>
      <w:r>
        <w:rPr>
          <w:rFonts w:hint="eastAsia" w:cs="宋体" w:asciiTheme="minorEastAsia" w:hAnsiTheme="minorEastAsia"/>
          <w:b/>
          <w:sz w:val="24"/>
          <w:szCs w:val="24"/>
        </w:rPr>
        <w:t>4.1绩效计划</w:t>
      </w:r>
      <w:bookmarkEnd w:id="87"/>
      <w:bookmarkEnd w:id="88"/>
      <w:bookmarkEnd w:id="89"/>
      <w:bookmarkEnd w:id="90"/>
      <w:bookmarkEnd w:id="91"/>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1）每月末3个工作日内，被考核人提交下月的PPC计划，由直接上级审批后生效执行；</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2）PPC计划须包含当月重要事项、关键事件，目标须具体、明确，概念清晰，有明确的完成时间，必要时须有明确的数据标志，对于需要跨月完成的项目，须写明当月完成部分的进度值；</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color w:val="FF0000"/>
          <w:sz w:val="24"/>
          <w:szCs w:val="24"/>
        </w:rPr>
      </w:pPr>
      <w:r>
        <w:rPr>
          <w:rFonts w:hint="eastAsia" w:asciiTheme="minorEastAsia" w:hAnsiTheme="minorEastAsia"/>
          <w:sz w:val="24"/>
          <w:szCs w:val="24"/>
        </w:rPr>
        <w:t xml:space="preserve">   3）当因岗位异动、职能变更、环境变化等原因，原确立的绩效目标不适合时，被考核人须重新与上级确认目标,修正PPC内容。</w:t>
      </w:r>
      <w:bookmarkStart w:id="92" w:name="_Toc10208"/>
      <w:bookmarkStart w:id="93" w:name="_Toc17632"/>
      <w:bookmarkStart w:id="94" w:name="_Toc7596"/>
      <w:bookmarkStart w:id="95" w:name="_Toc29565"/>
      <w:bookmarkStart w:id="96" w:name="_Toc178"/>
      <w:bookmarkStart w:id="97" w:name="_Toc19583"/>
      <w:bookmarkStart w:id="98" w:name="_Toc27582"/>
      <w:bookmarkStart w:id="99" w:name="_Toc7848"/>
      <w:bookmarkStart w:id="100" w:name="_Toc20637"/>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b/>
          <w:color w:val="FF0000"/>
          <w:sz w:val="24"/>
          <w:szCs w:val="24"/>
        </w:rPr>
      </w:pPr>
      <w:r>
        <w:rPr>
          <w:rFonts w:hint="eastAsia" w:cs="宋体" w:asciiTheme="minorEastAsia" w:hAnsiTheme="minorEastAsia"/>
          <w:b/>
          <w:sz w:val="24"/>
          <w:szCs w:val="24"/>
        </w:rPr>
        <w:t>4.2 绩效辅导</w:t>
      </w:r>
      <w:bookmarkEnd w:id="92"/>
      <w:bookmarkEnd w:id="93"/>
      <w:bookmarkEnd w:id="94"/>
      <w:bookmarkEnd w:id="95"/>
      <w:bookmarkEnd w:id="96"/>
      <w:bookmarkEnd w:id="97"/>
      <w:bookmarkEnd w:id="98"/>
      <w:bookmarkEnd w:id="99"/>
      <w:bookmarkEnd w:id="100"/>
    </w:p>
    <w:p>
      <w:pPr>
        <w:pageBreakBefore w:val="0"/>
        <w:widowControl w:val="0"/>
        <w:kinsoku/>
        <w:wordWrap/>
        <w:overflowPunct/>
        <w:topLinePunct w:val="0"/>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被考核人在开展工作期间，考核人须对其进行非正式或正式的绩效辅导，就其在绩效考核期间目标完成情况进行检查和指导，绩效辅导须贯穿整个绩效管理过程。</w:t>
      </w:r>
    </w:p>
    <w:p>
      <w:pPr>
        <w:pStyle w:val="3"/>
        <w:pageBreakBefore w:val="0"/>
        <w:widowControl w:val="0"/>
        <w:kinsoku/>
        <w:wordWrap/>
        <w:overflowPunct/>
        <w:topLinePunct w:val="0"/>
        <w:bidi w:val="0"/>
        <w:adjustRightInd/>
        <w:snapToGrid/>
        <w:spacing w:before="0" w:after="0" w:line="360" w:lineRule="auto"/>
        <w:textAlignment w:val="auto"/>
        <w:rPr>
          <w:rFonts w:cs="宋体" w:asciiTheme="minorEastAsia" w:hAnsiTheme="minorEastAsia" w:eastAsiaTheme="minorEastAsia"/>
          <w:sz w:val="24"/>
          <w:szCs w:val="24"/>
        </w:rPr>
      </w:pPr>
      <w:bookmarkStart w:id="101" w:name="_Toc13884"/>
      <w:bookmarkStart w:id="102" w:name="_Toc7876"/>
      <w:bookmarkStart w:id="103" w:name="_Toc1165"/>
      <w:bookmarkStart w:id="104" w:name="_Toc6488"/>
      <w:bookmarkStart w:id="105" w:name="_Toc24511"/>
      <w:bookmarkStart w:id="106" w:name="_Toc11505"/>
      <w:bookmarkStart w:id="107" w:name="_Toc29923"/>
      <w:bookmarkStart w:id="108" w:name="_Toc30192"/>
      <w:bookmarkStart w:id="109" w:name="_Toc21678"/>
      <w:r>
        <w:rPr>
          <w:rFonts w:hint="eastAsia" w:cs="宋体" w:asciiTheme="minorEastAsia" w:hAnsiTheme="minorEastAsia" w:eastAsiaTheme="minorEastAsia"/>
          <w:sz w:val="24"/>
          <w:szCs w:val="24"/>
        </w:rPr>
        <w:t>4.3 绩效考核</w:t>
      </w:r>
      <w:bookmarkEnd w:id="101"/>
      <w:bookmarkEnd w:id="102"/>
      <w:bookmarkEnd w:id="103"/>
      <w:bookmarkEnd w:id="104"/>
      <w:bookmarkEnd w:id="105"/>
      <w:bookmarkEnd w:id="106"/>
      <w:bookmarkEnd w:id="107"/>
      <w:bookmarkEnd w:id="108"/>
      <w:bookmarkEnd w:id="109"/>
    </w:p>
    <w:p>
      <w:pPr>
        <w:pageBreakBefore w:val="0"/>
        <w:widowControl w:val="0"/>
        <w:kinsoku/>
        <w:wordWrap/>
        <w:overflowPunct/>
        <w:topLinePunct w:val="0"/>
        <w:bidi w:val="0"/>
        <w:adjustRightInd/>
        <w:snapToGrid/>
        <w:spacing w:line="360" w:lineRule="auto"/>
        <w:ind w:firstLine="240" w:firstLineChars="100"/>
        <w:textAlignment w:val="auto"/>
        <w:rPr>
          <w:rFonts w:asciiTheme="minorEastAsia" w:hAnsiTheme="minorEastAsia"/>
          <w:sz w:val="24"/>
          <w:szCs w:val="24"/>
        </w:rPr>
      </w:pPr>
      <w:r>
        <w:rPr>
          <w:rFonts w:hint="eastAsia" w:asciiTheme="minorEastAsia" w:hAnsiTheme="minorEastAsia"/>
          <w:sz w:val="24"/>
          <w:szCs w:val="24"/>
        </w:rPr>
        <w:t>4.3.1考核流程</w:t>
      </w:r>
    </w:p>
    <w:p>
      <w:pPr>
        <w:pStyle w:val="3"/>
        <w:pageBreakBefore w:val="0"/>
        <w:widowControl w:val="0"/>
        <w:kinsoku/>
        <w:wordWrap/>
        <w:overflowPunct/>
        <w:topLinePunct w:val="0"/>
        <w:bidi w:val="0"/>
        <w:adjustRightInd/>
        <w:snapToGrid/>
        <w:spacing w:before="0" w:after="0" w:line="360" w:lineRule="auto"/>
        <w:ind w:firstLine="480" w:firstLineChars="200"/>
        <w:textAlignment w:val="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 xml:space="preserve">1) 考核期结束前（月末）5个工作内，考核双方分别就被考核人计划目标的完成情况及考核期内的行为表现进行自评和一级初评；       </w:t>
      </w:r>
    </w:p>
    <w:p>
      <w:pPr>
        <w:pageBreakBefore w:val="0"/>
        <w:widowControl w:val="0"/>
        <w:tabs>
          <w:tab w:val="left" w:pos="420"/>
          <w:tab w:val="left" w:pos="630"/>
        </w:tabs>
        <w:kinsoku/>
        <w:wordWrap/>
        <w:overflowPunct/>
        <w:topLinePunct w:val="0"/>
        <w:bidi w:val="0"/>
        <w:adjustRightInd/>
        <w:snapToGrid/>
        <w:spacing w:line="360" w:lineRule="auto"/>
        <w:ind w:left="2" w:leftChars="1" w:firstLine="240" w:firstLineChars="100"/>
        <w:jc w:val="left"/>
        <w:textAlignment w:val="auto"/>
        <w:rPr>
          <w:rFonts w:asciiTheme="minorEastAsia" w:hAnsiTheme="minorEastAsia"/>
          <w:sz w:val="24"/>
          <w:szCs w:val="24"/>
        </w:rPr>
      </w:pPr>
      <w:r>
        <w:rPr>
          <w:rFonts w:hint="eastAsia" w:asciiTheme="minorEastAsia" w:hAnsiTheme="minorEastAsia"/>
          <w:sz w:val="24"/>
          <w:szCs w:val="24"/>
        </w:rPr>
        <w:t xml:space="preserve">  2）次月月初2个工作日内，绩效部汇总各部职员的初评等级，统计考核等级分布情况，并给出局部调整建议；</w:t>
      </w:r>
    </w:p>
    <w:p>
      <w:pPr>
        <w:pageBreakBefore w:val="0"/>
        <w:widowControl w:val="0"/>
        <w:tabs>
          <w:tab w:val="left" w:pos="420"/>
          <w:tab w:val="left" w:pos="630"/>
        </w:tabs>
        <w:kinsoku/>
        <w:wordWrap/>
        <w:overflowPunct/>
        <w:topLinePunct w:val="0"/>
        <w:bidi w:val="0"/>
        <w:adjustRightInd/>
        <w:snapToGrid/>
        <w:spacing w:line="360" w:lineRule="auto"/>
        <w:ind w:left="2" w:leftChars="1" w:firstLine="240" w:firstLineChars="100"/>
        <w:jc w:val="left"/>
        <w:textAlignment w:val="auto"/>
        <w:rPr>
          <w:rFonts w:asciiTheme="minorEastAsia" w:hAnsiTheme="minorEastAsia"/>
          <w:sz w:val="24"/>
          <w:szCs w:val="24"/>
        </w:rPr>
      </w:pPr>
      <w:r>
        <w:rPr>
          <w:rFonts w:hint="eastAsia" w:asciiTheme="minorEastAsia" w:hAnsiTheme="minorEastAsia"/>
          <w:sz w:val="24"/>
          <w:szCs w:val="24"/>
        </w:rPr>
        <w:t xml:space="preserve">  3) 次月月初3个工作日内，被考核部门上级主管审核确认最终考评结果。</w:t>
      </w:r>
    </w:p>
    <w:p>
      <w:pPr>
        <w:pageBreakBefore w:val="0"/>
        <w:widowControl w:val="0"/>
        <w:kinsoku/>
        <w:wordWrap/>
        <w:overflowPunct/>
        <w:topLinePunct w:val="0"/>
        <w:bidi w:val="0"/>
        <w:adjustRightInd/>
        <w:snapToGrid/>
        <w:spacing w:line="360" w:lineRule="auto"/>
        <w:ind w:left="239" w:leftChars="114" w:firstLine="240" w:firstLineChars="100"/>
        <w:jc w:val="left"/>
        <w:textAlignment w:val="auto"/>
        <w:rPr>
          <w:rFonts w:asciiTheme="minorEastAsia" w:hAnsiTheme="minorEastAsia"/>
          <w:color w:val="0000FF"/>
          <w:sz w:val="24"/>
          <w:szCs w:val="24"/>
        </w:rPr>
      </w:pPr>
      <w:r>
        <w:rPr>
          <w:rFonts w:hint="eastAsia" w:asciiTheme="minorEastAsia" w:hAnsiTheme="minorEastAsia"/>
          <w:sz w:val="24"/>
          <w:szCs w:val="24"/>
        </w:rPr>
        <w:t>备注:管理层职员直接由其上级完成一级评估即可。</w:t>
      </w:r>
      <w:r>
        <w:rPr>
          <w:rFonts w:hint="eastAsia" w:asciiTheme="minorEastAsia" w:hAnsiTheme="minorEastAsia"/>
          <w:color w:val="0000FF"/>
          <w:sz w:val="24"/>
          <w:szCs w:val="24"/>
        </w:rPr>
        <w:t xml:space="preserve">   </w:t>
      </w:r>
    </w:p>
    <w:p>
      <w:pPr>
        <w:pageBreakBefore w:val="0"/>
        <w:widowControl w:val="0"/>
        <w:kinsoku/>
        <w:wordWrap/>
        <w:overflowPunct/>
        <w:topLinePunct w:val="0"/>
        <w:bidi w:val="0"/>
        <w:adjustRightInd/>
        <w:snapToGrid/>
        <w:spacing w:line="360" w:lineRule="auto"/>
        <w:ind w:firstLine="240" w:firstLineChars="100"/>
        <w:jc w:val="left"/>
        <w:textAlignment w:val="auto"/>
        <w:rPr>
          <w:rFonts w:asciiTheme="minorEastAsia" w:hAnsiTheme="minorEastAsia"/>
          <w:sz w:val="24"/>
          <w:szCs w:val="24"/>
        </w:rPr>
      </w:pPr>
      <w:r>
        <w:rPr>
          <w:rFonts w:hint="eastAsia" w:asciiTheme="minorEastAsia" w:hAnsiTheme="minorEastAsia"/>
          <w:sz w:val="24"/>
          <w:szCs w:val="24"/>
        </w:rPr>
        <w:t>4.3.2  考核等级规定</w:t>
      </w:r>
    </w:p>
    <w:p>
      <w:pPr>
        <w:pageBreakBefore w:val="0"/>
        <w:widowControl w:val="0"/>
        <w:kinsoku/>
        <w:wordWrap/>
        <w:overflowPunct/>
        <w:topLinePunct w:val="0"/>
        <w:bidi w:val="0"/>
        <w:adjustRightInd/>
        <w:snapToGrid/>
        <w:spacing w:line="360" w:lineRule="auto"/>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以部门为单位，考核等级遵循一定的分布规律,即以 S3为集中等级,往两级均衡分布。一般大致分布规律如下：</w:t>
      </w:r>
    </w:p>
    <w:tbl>
      <w:tblPr>
        <w:tblStyle w:val="8"/>
        <w:tblW w:w="0" w:type="auto"/>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考核等级</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S1</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S2</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S3</w:t>
            </w:r>
          </w:p>
        </w:tc>
        <w:tc>
          <w:tcPr>
            <w:tcW w:w="1421"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S4</w:t>
            </w:r>
          </w:p>
        </w:tc>
        <w:tc>
          <w:tcPr>
            <w:tcW w:w="1421"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S5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right"/>
        </w:trPr>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分布比例</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10%</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20%</w:t>
            </w:r>
          </w:p>
        </w:tc>
        <w:tc>
          <w:tcPr>
            <w:tcW w:w="1420"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30%</w:t>
            </w:r>
          </w:p>
        </w:tc>
        <w:tc>
          <w:tcPr>
            <w:tcW w:w="1421"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20%</w:t>
            </w:r>
          </w:p>
        </w:tc>
        <w:tc>
          <w:tcPr>
            <w:tcW w:w="1421" w:type="dxa"/>
          </w:tcPr>
          <w:p>
            <w:pPr>
              <w:pageBreakBefore w:val="0"/>
              <w:widowControl w:val="0"/>
              <w:kinsoku/>
              <w:wordWrap/>
              <w:overflowPunct/>
              <w:topLinePunct w:val="0"/>
              <w:bidi w:val="0"/>
              <w:adjustRightInd/>
              <w:snapToGrid/>
              <w:spacing w:line="360" w:lineRule="auto"/>
              <w:jc w:val="center"/>
              <w:textAlignment w:val="auto"/>
              <w:rPr>
                <w:rFonts w:asciiTheme="minorEastAsia" w:hAnsiTheme="minorEastAsia"/>
                <w:sz w:val="24"/>
                <w:szCs w:val="24"/>
              </w:rPr>
            </w:pPr>
            <w:r>
              <w:rPr>
                <w:rFonts w:hint="eastAsia" w:asciiTheme="minorEastAsia" w:hAnsiTheme="minorEastAsia"/>
                <w:sz w:val="24"/>
                <w:szCs w:val="24"/>
              </w:rPr>
              <w:t>10%</w:t>
            </w:r>
          </w:p>
        </w:tc>
      </w:tr>
    </w:tbl>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备注：1.“S1”及“S5”等级不强制，依据实际情况评估；</w:t>
      </w:r>
    </w:p>
    <w:p>
      <w:pPr>
        <w:pageBreakBefore w:val="0"/>
        <w:widowControl w:val="0"/>
        <w:kinsoku/>
        <w:wordWrap/>
        <w:overflowPunct/>
        <w:topLinePunct w:val="0"/>
        <w:bidi w:val="0"/>
        <w:adjustRightInd/>
        <w:snapToGrid/>
        <w:spacing w:line="360" w:lineRule="auto"/>
        <w:ind w:firstLine="720" w:firstLineChars="300"/>
        <w:jc w:val="left"/>
        <w:textAlignment w:val="auto"/>
        <w:rPr>
          <w:rFonts w:asciiTheme="minorEastAsia" w:hAnsiTheme="minorEastAsia"/>
          <w:sz w:val="24"/>
          <w:szCs w:val="24"/>
        </w:rPr>
      </w:pPr>
      <w:r>
        <w:rPr>
          <w:rFonts w:hint="eastAsia" w:asciiTheme="minorEastAsia" w:hAnsiTheme="minorEastAsia"/>
          <w:sz w:val="24"/>
          <w:szCs w:val="24"/>
        </w:rPr>
        <w:t>2. 部门人数少于10人，可适当调整比例，总体分布趋中S3级便可。</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b/>
          <w:sz w:val="24"/>
          <w:szCs w:val="24"/>
        </w:rPr>
      </w:pPr>
      <w:r>
        <w:rPr>
          <w:rFonts w:hint="eastAsia" w:asciiTheme="minorEastAsia" w:hAnsiTheme="minorEastAsia"/>
          <w:b/>
          <w:sz w:val="24"/>
          <w:szCs w:val="24"/>
        </w:rPr>
        <w:t>4.4 考核结果的反馈与沟通</w:t>
      </w:r>
    </w:p>
    <w:p>
      <w:pPr>
        <w:pageBreakBefore w:val="0"/>
        <w:widowControl w:val="0"/>
        <w:kinsoku/>
        <w:wordWrap/>
        <w:overflowPunct/>
        <w:topLinePunct w:val="0"/>
        <w:bidi w:val="0"/>
        <w:adjustRightInd/>
        <w:snapToGrid/>
        <w:spacing w:line="360" w:lineRule="auto"/>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1）考核周期结束后（次月）5个工作日内，部门主管完成绩效考核结果的逐级下达；</w:t>
      </w:r>
      <w:bookmarkStart w:id="110" w:name="_Toc13367"/>
      <w:bookmarkStart w:id="111" w:name="_Toc3930"/>
      <w:bookmarkStart w:id="112" w:name="_Toc31843"/>
      <w:bookmarkStart w:id="113" w:name="_Toc13233"/>
      <w:bookmarkStart w:id="114" w:name="_Toc21871"/>
      <w:bookmarkStart w:id="115" w:name="_Toc14380"/>
      <w:bookmarkStart w:id="116" w:name="_Toc10949"/>
      <w:bookmarkStart w:id="117" w:name="_Toc24914"/>
      <w:bookmarkStart w:id="118" w:name="_Toc19213"/>
    </w:p>
    <w:bookmarkEnd w:id="110"/>
    <w:bookmarkEnd w:id="111"/>
    <w:bookmarkEnd w:id="112"/>
    <w:bookmarkEnd w:id="113"/>
    <w:bookmarkEnd w:id="114"/>
    <w:bookmarkEnd w:id="115"/>
    <w:bookmarkEnd w:id="116"/>
    <w:bookmarkEnd w:id="117"/>
    <w:bookmarkEnd w:id="118"/>
    <w:p>
      <w:pPr>
        <w:pageBreakBefore w:val="0"/>
        <w:widowControl w:val="0"/>
        <w:kinsoku/>
        <w:wordWrap/>
        <w:overflowPunct/>
        <w:topLinePunct w:val="0"/>
        <w:bidi w:val="0"/>
        <w:adjustRightInd/>
        <w:snapToGrid/>
        <w:spacing w:line="360" w:lineRule="auto"/>
        <w:ind w:firstLine="480" w:firstLineChars="200"/>
        <w:jc w:val="left"/>
        <w:textAlignment w:val="auto"/>
        <w:rPr>
          <w:rFonts w:asciiTheme="minorEastAsia" w:hAnsiTheme="minorEastAsia"/>
          <w:color w:val="000000"/>
          <w:sz w:val="24"/>
          <w:szCs w:val="24"/>
        </w:rPr>
      </w:pPr>
      <w:r>
        <w:rPr>
          <w:rFonts w:hint="eastAsia" w:asciiTheme="minorEastAsia" w:hAnsiTheme="minorEastAsia"/>
          <w:sz w:val="24"/>
          <w:szCs w:val="24"/>
        </w:rPr>
        <w:t>2）考核结果下达后3个工作日内，考核人与被考核人应就工作表现、绩效改进和能力提升计划等方面进行双向沟通。可以采取集体会议、小组会议、必要时可采取一对一面谈的形式。</w:t>
      </w:r>
    </w:p>
    <w:p>
      <w:pPr>
        <w:pageBreakBefore w:val="0"/>
        <w:widowControl w:val="0"/>
        <w:kinsoku/>
        <w:wordWrap/>
        <w:overflowPunct/>
        <w:topLinePunct w:val="0"/>
        <w:bidi w:val="0"/>
        <w:adjustRightInd/>
        <w:snapToGrid/>
        <w:spacing w:line="360" w:lineRule="auto"/>
        <w:ind w:firstLine="465"/>
        <w:jc w:val="left"/>
        <w:textAlignment w:val="auto"/>
        <w:rPr>
          <w:rFonts w:asciiTheme="minorEastAsia" w:hAnsiTheme="minorEastAsia"/>
          <w:sz w:val="24"/>
          <w:szCs w:val="24"/>
        </w:rPr>
      </w:pPr>
      <w:r>
        <w:rPr>
          <w:rFonts w:hint="eastAsia" w:asciiTheme="minorEastAsia" w:hAnsiTheme="minorEastAsia"/>
          <w:sz w:val="24"/>
          <w:szCs w:val="24"/>
        </w:rPr>
        <w:t>3）对于考核结果为S1级者，部门负责人需提交该员工的优秀业绩或突出的工作表现给绩效部备案；对于考核结果为S4级（含）以下者，部门负责人需协助、督促员工完成《绩效改进计划》。</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4）绩效部总结月度绩效考核结果，整理绩优员工事迹及绩效改进计划，建立绩效档案。</w:t>
      </w:r>
    </w:p>
    <w:p>
      <w:pPr>
        <w:pageBreakBefore w:val="0"/>
        <w:widowControl w:val="0"/>
        <w:kinsoku/>
        <w:wordWrap/>
        <w:overflowPunct/>
        <w:topLinePunct w:val="0"/>
        <w:bidi w:val="0"/>
        <w:adjustRightInd/>
        <w:snapToGrid/>
        <w:spacing w:line="360" w:lineRule="auto"/>
        <w:jc w:val="left"/>
        <w:textAlignment w:val="auto"/>
      </w:pPr>
      <w:r>
        <w:rPr>
          <w:rFonts w:hint="eastAsia" w:asciiTheme="minorEastAsia" w:hAnsiTheme="minorEastAsia"/>
          <w:b/>
          <w:sz w:val="24"/>
          <w:szCs w:val="24"/>
        </w:rPr>
        <w:t>4.5绩效考核申诉</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4.5.1员工如对绩效考核结果不知情或有异议的，经与直接管理人员沟通后仍未达成一致的，可于绩效考核结果下达后5个工作日内，以书面形式向绩效部提出申诉（详见《绩效考核申诉表》），逾期则视为默认知情和接受考核结果；</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4.5.2 绩效部接到申诉后，须在2个工作日内了解实际情况，根据事实、依据是否充足做出是否受理的答复；</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sz w:val="24"/>
          <w:szCs w:val="24"/>
        </w:rPr>
      </w:pPr>
      <w:r>
        <w:rPr>
          <w:rFonts w:hint="eastAsia" w:asciiTheme="minorEastAsia" w:hAnsiTheme="minorEastAsia"/>
          <w:sz w:val="24"/>
          <w:szCs w:val="24"/>
        </w:rPr>
        <w:t xml:space="preserve">  4.5.3 对于已受理的投诉，绩效部须在3个工作日内根据事实、数据等依据给出申诉结果，并与相关人员进行沟通确认。</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b/>
          <w:sz w:val="24"/>
          <w:szCs w:val="24"/>
        </w:rPr>
      </w:pPr>
      <w:r>
        <w:rPr>
          <w:rFonts w:hint="eastAsia" w:asciiTheme="minorEastAsia" w:hAnsiTheme="minorEastAsia"/>
          <w:b/>
          <w:sz w:val="24"/>
          <w:szCs w:val="24"/>
        </w:rPr>
        <w:t>4.6考核结果的应用</w:t>
      </w:r>
    </w:p>
    <w:p>
      <w:pPr>
        <w:pageBreakBefore w:val="0"/>
        <w:widowControl w:val="0"/>
        <w:kinsoku/>
        <w:wordWrap/>
        <w:overflowPunct/>
        <w:topLinePunct w:val="0"/>
        <w:bidi w:val="0"/>
        <w:adjustRightInd/>
        <w:snapToGrid/>
        <w:spacing w:line="360" w:lineRule="auto"/>
        <w:jc w:val="left"/>
        <w:textAlignment w:val="auto"/>
        <w:rPr>
          <w:rFonts w:hint="eastAsia" w:asciiTheme="minorEastAsia" w:hAnsiTheme="minorEastAsia"/>
          <w:sz w:val="24"/>
          <w:szCs w:val="24"/>
        </w:rPr>
      </w:pPr>
      <w:r>
        <w:rPr>
          <w:rFonts w:hint="eastAsia" w:asciiTheme="minorEastAsia" w:hAnsiTheme="minorEastAsia"/>
          <w:sz w:val="24"/>
          <w:szCs w:val="24"/>
        </w:rPr>
        <w:t xml:space="preserve">  4.6.1 作为月度绩效奖金及年终奖金发放的重要依据；</w:t>
      </w:r>
    </w:p>
    <w:p>
      <w:pPr>
        <w:pageBreakBefore w:val="0"/>
        <w:widowControl w:val="0"/>
        <w:kinsoku/>
        <w:wordWrap/>
        <w:overflowPunct/>
        <w:topLinePunct w:val="0"/>
        <w:bidi w:val="0"/>
        <w:adjustRightInd/>
        <w:snapToGrid/>
        <w:spacing w:line="360" w:lineRule="auto"/>
        <w:ind w:firstLine="240" w:firstLineChars="100"/>
        <w:jc w:val="left"/>
        <w:textAlignment w:val="auto"/>
        <w:rPr>
          <w:rFonts w:asciiTheme="minorEastAsia" w:hAnsiTheme="minorEastAsia"/>
          <w:sz w:val="24"/>
          <w:szCs w:val="24"/>
        </w:rPr>
      </w:pPr>
      <w:r>
        <w:rPr>
          <w:rFonts w:hint="eastAsia" w:asciiTheme="minorEastAsia" w:hAnsiTheme="minorEastAsia"/>
          <w:sz w:val="24"/>
          <w:szCs w:val="24"/>
        </w:rPr>
        <w:t>4.6.2 建立员工绩效档案，作为年度调薪、职位异动的依据；</w:t>
      </w:r>
    </w:p>
    <w:p>
      <w:pPr>
        <w:pageBreakBefore w:val="0"/>
        <w:widowControl w:val="0"/>
        <w:kinsoku/>
        <w:wordWrap/>
        <w:overflowPunct/>
        <w:topLinePunct w:val="0"/>
        <w:bidi w:val="0"/>
        <w:adjustRightInd/>
        <w:snapToGrid/>
        <w:spacing w:line="360" w:lineRule="auto"/>
        <w:ind w:firstLine="240" w:firstLineChars="100"/>
        <w:jc w:val="left"/>
        <w:textAlignment w:val="auto"/>
        <w:rPr>
          <w:rFonts w:asciiTheme="minorEastAsia" w:hAnsiTheme="minorEastAsia"/>
          <w:sz w:val="24"/>
          <w:szCs w:val="24"/>
        </w:rPr>
      </w:pPr>
      <w:r>
        <w:rPr>
          <w:rFonts w:hint="eastAsia" w:asciiTheme="minorEastAsia" w:hAnsiTheme="minorEastAsia"/>
          <w:sz w:val="24"/>
          <w:szCs w:val="24"/>
        </w:rPr>
        <w:t>4.6.3 收集知识、能力改进需求，为企业培训学习提供依据。</w:t>
      </w:r>
    </w:p>
    <w:p>
      <w:pPr>
        <w:pageBreakBefore w:val="0"/>
        <w:widowControl w:val="0"/>
        <w:kinsoku/>
        <w:wordWrap/>
        <w:overflowPunct/>
        <w:topLinePunct w:val="0"/>
        <w:bidi w:val="0"/>
        <w:adjustRightInd/>
        <w:snapToGrid/>
        <w:spacing w:line="360" w:lineRule="auto"/>
        <w:jc w:val="left"/>
        <w:textAlignment w:val="auto"/>
        <w:rPr>
          <w:rFonts w:asciiTheme="minorEastAsia" w:hAnsiTheme="minorEastAsia"/>
          <w:b/>
          <w:sz w:val="24"/>
          <w:szCs w:val="24"/>
        </w:rPr>
      </w:pPr>
      <w:r>
        <w:rPr>
          <w:rFonts w:hint="eastAsia" w:cs="Times New Roman" w:asciiTheme="minorEastAsia" w:hAnsiTheme="minorEastAsia"/>
          <w:b/>
          <w:sz w:val="24"/>
          <w:szCs w:val="24"/>
        </w:rPr>
        <w:t>5.附则</w:t>
      </w:r>
    </w:p>
    <w:p>
      <w:pPr>
        <w:pageBreakBefore w:val="0"/>
        <w:widowControl w:val="0"/>
        <w:tabs>
          <w:tab w:val="left" w:pos="709"/>
        </w:tabs>
        <w:kinsoku/>
        <w:wordWrap/>
        <w:overflowPunct/>
        <w:topLinePunct w:val="0"/>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本管理规范自发布之日起正式实施。</w:t>
      </w:r>
    </w:p>
    <w:p>
      <w:pPr>
        <w:pageBreakBefore w:val="0"/>
        <w:widowControl w:val="0"/>
        <w:kinsoku/>
        <w:wordWrap/>
        <w:overflowPunct/>
        <w:topLinePunct w:val="0"/>
        <w:bidi w:val="0"/>
        <w:adjustRightInd/>
        <w:snapToGrid/>
        <w:spacing w:line="360" w:lineRule="auto"/>
        <w:textAlignment w:val="auto"/>
        <w:rPr>
          <w:rFonts w:asciiTheme="minorEastAsia" w:hAnsiTheme="minorEastAsia"/>
          <w:sz w:val="24"/>
          <w:szCs w:val="24"/>
        </w:rPr>
      </w:pPr>
      <w:r>
        <w:rPr>
          <w:rFonts w:hint="eastAsia" w:asciiTheme="minorEastAsia" w:hAnsiTheme="minorEastAsia"/>
          <w:sz w:val="24"/>
          <w:szCs w:val="24"/>
        </w:rPr>
        <w:t>本管理规范的解释权归人力资源中心。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708F0"/>
    <w:multiLevelType w:val="multilevel"/>
    <w:tmpl w:val="3C1708F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6FF0"/>
    <w:rsid w:val="00003C70"/>
    <w:rsid w:val="00012BB0"/>
    <w:rsid w:val="000240FA"/>
    <w:rsid w:val="000368B8"/>
    <w:rsid w:val="00042880"/>
    <w:rsid w:val="00087DB9"/>
    <w:rsid w:val="0009413E"/>
    <w:rsid w:val="000A6DFC"/>
    <w:rsid w:val="000B6CA4"/>
    <w:rsid w:val="000F7301"/>
    <w:rsid w:val="0011143C"/>
    <w:rsid w:val="00185FEA"/>
    <w:rsid w:val="001969C7"/>
    <w:rsid w:val="001E0947"/>
    <w:rsid w:val="002032BC"/>
    <w:rsid w:val="00236333"/>
    <w:rsid w:val="00262012"/>
    <w:rsid w:val="00280E15"/>
    <w:rsid w:val="002900BE"/>
    <w:rsid w:val="00297C71"/>
    <w:rsid w:val="002A57A9"/>
    <w:rsid w:val="002D61E1"/>
    <w:rsid w:val="002F327A"/>
    <w:rsid w:val="0030278D"/>
    <w:rsid w:val="00303834"/>
    <w:rsid w:val="00377ADF"/>
    <w:rsid w:val="00384D2D"/>
    <w:rsid w:val="0039283D"/>
    <w:rsid w:val="00396631"/>
    <w:rsid w:val="003A6457"/>
    <w:rsid w:val="003C10D9"/>
    <w:rsid w:val="003C5526"/>
    <w:rsid w:val="0044088D"/>
    <w:rsid w:val="00447B4D"/>
    <w:rsid w:val="004C1646"/>
    <w:rsid w:val="004C6171"/>
    <w:rsid w:val="004D300C"/>
    <w:rsid w:val="004E3BB0"/>
    <w:rsid w:val="004E59B1"/>
    <w:rsid w:val="004F37EE"/>
    <w:rsid w:val="005034BC"/>
    <w:rsid w:val="005075EB"/>
    <w:rsid w:val="005812A9"/>
    <w:rsid w:val="005907A5"/>
    <w:rsid w:val="005A147D"/>
    <w:rsid w:val="005B7628"/>
    <w:rsid w:val="005D07D6"/>
    <w:rsid w:val="005E427D"/>
    <w:rsid w:val="005E7CC1"/>
    <w:rsid w:val="0060648D"/>
    <w:rsid w:val="00610816"/>
    <w:rsid w:val="006127A7"/>
    <w:rsid w:val="00634C9E"/>
    <w:rsid w:val="00642352"/>
    <w:rsid w:val="00654984"/>
    <w:rsid w:val="00664543"/>
    <w:rsid w:val="0067078C"/>
    <w:rsid w:val="00671F8F"/>
    <w:rsid w:val="00687C62"/>
    <w:rsid w:val="00692026"/>
    <w:rsid w:val="006D0B55"/>
    <w:rsid w:val="006D169A"/>
    <w:rsid w:val="006F39E1"/>
    <w:rsid w:val="00721E48"/>
    <w:rsid w:val="007A3DAE"/>
    <w:rsid w:val="007C28E1"/>
    <w:rsid w:val="007C6F60"/>
    <w:rsid w:val="0080479B"/>
    <w:rsid w:val="008110DE"/>
    <w:rsid w:val="00840DDB"/>
    <w:rsid w:val="0085437B"/>
    <w:rsid w:val="00867F77"/>
    <w:rsid w:val="008B5172"/>
    <w:rsid w:val="008E4697"/>
    <w:rsid w:val="008F4D0A"/>
    <w:rsid w:val="00946DBA"/>
    <w:rsid w:val="009475CC"/>
    <w:rsid w:val="00990693"/>
    <w:rsid w:val="009927C8"/>
    <w:rsid w:val="009B3A26"/>
    <w:rsid w:val="009E66E5"/>
    <w:rsid w:val="00A0261B"/>
    <w:rsid w:val="00A26A28"/>
    <w:rsid w:val="00AC33EB"/>
    <w:rsid w:val="00B23383"/>
    <w:rsid w:val="00B25945"/>
    <w:rsid w:val="00B60508"/>
    <w:rsid w:val="00B948D5"/>
    <w:rsid w:val="00BA1FFB"/>
    <w:rsid w:val="00BC2ECA"/>
    <w:rsid w:val="00BE6011"/>
    <w:rsid w:val="00BF0A8D"/>
    <w:rsid w:val="00C11699"/>
    <w:rsid w:val="00C51802"/>
    <w:rsid w:val="00C64E8A"/>
    <w:rsid w:val="00C75D2E"/>
    <w:rsid w:val="00C97920"/>
    <w:rsid w:val="00CC430F"/>
    <w:rsid w:val="00CC6A79"/>
    <w:rsid w:val="00CE3F4C"/>
    <w:rsid w:val="00CF1A0D"/>
    <w:rsid w:val="00D3016E"/>
    <w:rsid w:val="00D91D48"/>
    <w:rsid w:val="00D922DD"/>
    <w:rsid w:val="00D942A0"/>
    <w:rsid w:val="00DA5F91"/>
    <w:rsid w:val="00DC0CAD"/>
    <w:rsid w:val="00DC55D0"/>
    <w:rsid w:val="00DD3CC4"/>
    <w:rsid w:val="00DD69B5"/>
    <w:rsid w:val="00DE0696"/>
    <w:rsid w:val="00DE4AF4"/>
    <w:rsid w:val="00E23AC7"/>
    <w:rsid w:val="00E36577"/>
    <w:rsid w:val="00E721E0"/>
    <w:rsid w:val="00E84CC6"/>
    <w:rsid w:val="00EC3A8D"/>
    <w:rsid w:val="00ED7140"/>
    <w:rsid w:val="00F46E27"/>
    <w:rsid w:val="00F5034C"/>
    <w:rsid w:val="00F73BAD"/>
    <w:rsid w:val="00F76FF0"/>
    <w:rsid w:val="00FB7EA6"/>
    <w:rsid w:val="00FE488A"/>
    <w:rsid w:val="7C37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jc w:val="left"/>
      <w:outlineLvl w:val="0"/>
    </w:pPr>
    <w:rPr>
      <w:rFonts w:ascii="Calibri" w:hAnsi="Calibri" w:eastAsia="宋体" w:cs="Times New Roman"/>
      <w:b/>
      <w:kern w:val="44"/>
      <w:sz w:val="24"/>
      <w:szCs w:val="20"/>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标题 1 Char"/>
    <w:basedOn w:val="9"/>
    <w:link w:val="2"/>
    <w:qFormat/>
    <w:uiPriority w:val="0"/>
    <w:rPr>
      <w:rFonts w:ascii="Calibri" w:hAnsi="Calibri" w:eastAsia="宋体" w:cs="Times New Roman"/>
      <w:b/>
      <w:kern w:val="44"/>
      <w:sz w:val="24"/>
      <w:szCs w:val="20"/>
    </w:rPr>
  </w:style>
  <w:style w:type="paragraph" w:styleId="11">
    <w:name w:val="List Paragraph"/>
    <w:basedOn w:val="1"/>
    <w:qFormat/>
    <w:uiPriority w:val="34"/>
    <w:pPr>
      <w:ind w:firstLine="420" w:firstLineChars="200"/>
    </w:pPr>
  </w:style>
  <w:style w:type="character" w:customStyle="1" w:styleId="12">
    <w:name w:val="标题 2 Char"/>
    <w:basedOn w:val="9"/>
    <w:link w:val="3"/>
    <w:qFormat/>
    <w:uiPriority w:val="0"/>
    <w:rPr>
      <w:rFonts w:asciiTheme="majorHAnsi" w:hAnsiTheme="majorHAnsi" w:eastAsiaTheme="majorEastAsia" w:cstheme="majorBidi"/>
      <w:b/>
      <w:bCs/>
      <w:sz w:val="32"/>
      <w:szCs w:val="32"/>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254</Words>
  <Characters>1452</Characters>
  <Lines>12</Lines>
  <Paragraphs>3</Paragraphs>
  <TotalTime>1510</TotalTime>
  <ScaleCrop>false</ScaleCrop>
  <LinksUpToDate>false</LinksUpToDate>
  <CharactersWithSpaces>1703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2015-03-12T03:19:00Z</dcterms:created>
  <dc:creator>pancaiyun</dc:creator>
  <cp:lastModifiedBy>王佩</cp:lastModifiedBy>
  <dcterms:modified xsi:type="dcterms:W3CDTF">2022-01-11T00:09:54Z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DCFF02E697FD4B918C39C951163AF714</vt:lpwstr>
  </property>
</Properties>
</file>