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等线;汉仪中等线KW" w:hAnsi="等线;汉仪中等线KW" w:eastAsia="等线;汉仪中等线KW" w:cs="等线;汉仪中等线KW"/>
          <w:szCs w:val="22"/>
        </w:rPr>
      </w:pPr>
      <w:r>
        <w:rPr>
          <w:rFonts w:eastAsia="等线;汉仪中等线KW" w:cs="等线;汉仪中等线KW" w:ascii="等线;汉仪中等线KW" w:hAnsi="等线;汉仪中等线KW"/>
          <w:szCs w:val="22"/>
        </w:rPr>
        <w:t xml:space="preserve">                                     </w:t>
      </w:r>
    </w:p>
    <w:p>
      <w:pPr>
        <w:pStyle w:val="Normal"/>
        <w:rPr>
          <w:rFonts w:ascii="等线;汉仪中等线KW" w:hAnsi="等线;汉仪中等线KW" w:eastAsia="等线;汉仪中等线KW" w:cs="等线;汉仪中等线KW"/>
          <w:szCs w:val="22"/>
        </w:rPr>
      </w:pPr>
      <w:r>
        <w:rPr>
          <w:rFonts w:eastAsia="等线;汉仪中等线KW" w:cs="等线;汉仪中等线KW" w:ascii="等线;汉仪中等线KW" w:hAnsi="等线;汉仪中等线KW"/>
          <w:szCs w:val="22"/>
        </w:rPr>
        <w:t xml:space="preserve">                 </w:t>
      </w:r>
      <w:bookmarkStart w:id="0" w:name="_GoBack"/>
      <w:bookmarkEnd w:id="0"/>
      <w:r>
        <w:rPr>
          <w:rFonts w:eastAsia="等线;汉仪中等线KW" w:cs="等线;汉仪中等线KW" w:ascii="等线;汉仪中等线KW" w:hAnsi="等线;汉仪中等线KW"/>
          <w:szCs w:val="22"/>
        </w:rPr>
        <w:t xml:space="preserve"> </w:t>
      </w:r>
    </w:p>
    <w:p>
      <w:pPr>
        <w:pStyle w:val="Normal"/>
        <w:pBdr/>
        <w:spacing w:lineRule="auto" w:line="360"/>
        <w:jc w:val="center"/>
        <w:rPr>
          <w:rFonts w:ascii="黑体;汉仪中黑KW" w:hAnsi="黑体;汉仪中黑KW" w:eastAsia="黑体;汉仪中黑KW"/>
          <w:b/>
          <w:b/>
          <w:bCs/>
          <w:sz w:val="28"/>
        </w:rPr>
      </w:pPr>
      <w:r>
        <w:rPr>
          <w:rFonts w:ascii="黑体;汉仪中黑KW" w:hAnsi="黑体;汉仪中黑KW" w:eastAsia="黑体;汉仪中黑KW"/>
          <w:b/>
          <w:bCs/>
          <w:sz w:val="28"/>
        </w:rPr>
        <w:t>绩效改进与绩效评价表</w:t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b/>
          <w:b/>
          <w:bCs/>
          <w:sz w:val="24"/>
        </w:rPr>
      </w:pPr>
      <w:r>
        <w:rPr>
          <w:rFonts w:eastAsia="黑体;汉仪中黑KW" w:ascii="黑体;汉仪中黑KW" w:hAnsi="黑体;汉仪中黑KW"/>
          <w:b/>
          <w:bCs/>
          <w:sz w:val="24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27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9pt;margin-top:7.8pt;width:0pt;height: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3">
                <wp:simplePos x="0" y="0"/>
                <wp:positionH relativeFrom="column">
                  <wp:posOffset>109855</wp:posOffset>
                </wp:positionH>
                <wp:positionV relativeFrom="paragraph">
                  <wp:posOffset>94615</wp:posOffset>
                </wp:positionV>
                <wp:extent cx="5038090" cy="900430"/>
                <wp:effectExtent l="0" t="76200" r="7620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9004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雇员姓名：         工号：               在此岗位的工作年限：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工作头衔：                              主管姓名：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职级：                                  上次评价日期：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部门：                                  此次评价日期：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96.7pt;height:70.9pt;mso-wrap-distance-left:9.05pt;mso-wrap-distance-right:9.05pt;mso-wrap-distance-top:0pt;mso-wrap-distance-bottom:0pt;margin-top:7.45pt;mso-position-vertical-relative:text;margin-left:8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雇员姓名：         工号：               在此岗位的工作年限：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工作头衔：                              主管姓名：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职级：                                  上次评价日期：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部门：                                  此次评价日期：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4">
                <wp:simplePos x="0" y="0"/>
                <wp:positionH relativeFrom="column">
                  <wp:posOffset>109855</wp:posOffset>
                </wp:positionH>
                <wp:positionV relativeFrom="paragraph">
                  <wp:posOffset>193675</wp:posOffset>
                </wp:positionV>
                <wp:extent cx="5038090" cy="1098550"/>
                <wp:effectExtent l="0" t="76200" r="7620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10985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eastAsia="楷体_GB2312;汉仪楷体简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  <w:b/>
                                <w:bCs/>
                              </w:rPr>
                              <w:t>你所在部门的使命或愿景声明（以培训部门为范例）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通过不断更新的人力资源培训设计、评价系统以及有效的培训实施来支持整个公司的商业成长与发展。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96.7pt;height:86.5pt;mso-wrap-distance-left:9.05pt;mso-wrap-distance-right:9.05pt;mso-wrap-distance-top:0pt;mso-wrap-distance-bottom:0pt;margin-top:15.25pt;mso-position-vertical-relative:text;margin-left:8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eastAsia="楷体_GB2312;汉仪楷体简"/>
                          <w:b/>
                          <w:b/>
                          <w:bCs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  <w:b/>
                          <w:bCs/>
                        </w:rPr>
                        <w:t>你所在部门的使命或愿景声明（以培训部门为范例）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通过不断更新的人力资源培训设计、评价系统以及有效的培训实施来支持整个公司的商业成长与发展。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5">
                <wp:simplePos x="0" y="0"/>
                <wp:positionH relativeFrom="column">
                  <wp:posOffset>224155</wp:posOffset>
                </wp:positionH>
                <wp:positionV relativeFrom="paragraph">
                  <wp:posOffset>94615</wp:posOffset>
                </wp:positionV>
                <wp:extent cx="4809490" cy="1891030"/>
                <wp:effectExtent l="0" t="76200" r="7620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8910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ascii="楷体_GB2312;汉仪楷体简" w:hAnsi="楷体_GB2312;汉仪楷体简" w:eastAsia="楷体_GB2312;汉仪楷体简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  <w:b/>
                                <w:bCs/>
                              </w:rPr>
                              <w:t>部门目标（以培训部门为范例）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建立人力资源研究与开发中心；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改变原先传统的培训为员工发展与绩效改进项目；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发掘员工调动和工作轮换的需求；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设计适合公司不同发展阶段的培训课程，并实施；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保证公司每一位员工每年所接受到的培训不少于</w:t>
                            </w:r>
                            <w:r>
                              <w:rPr>
                                <w:rFonts w:eastAsia="Perpetua Titling MT;苹方-简" w:cs="Perpetua Titling MT;苹方-简" w:ascii="Perpetua Titling MT;苹方-简" w:hAnsi="Perpetua Titling MT;苹方-简"/>
                              </w:rPr>
                              <w:t>40</w:t>
                            </w: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小时；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楷体_GB2312;汉仪楷体简" w:hAnsi="楷体_GB2312;汉仪楷体简"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为公司人力资源管理部门的其他活动提供帮助和支持；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398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其它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8.7pt;height:148.9pt;mso-wrap-distance-left:9.05pt;mso-wrap-distance-right:9.05pt;mso-wrap-distance-top:0pt;mso-wrap-distance-bottom:0pt;margin-top:7.45pt;mso-position-vertical-relative:text;margin-left:17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ascii="楷体_GB2312;汉仪楷体简" w:hAnsi="楷体_GB2312;汉仪楷体简" w:eastAsia="楷体_GB2312;汉仪楷体简"/>
                          <w:b/>
                          <w:b/>
                          <w:bCs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  <w:b/>
                          <w:bCs/>
                        </w:rPr>
                        <w:t>部门目标（以培训部门为范例）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建立人力资源研究与开发中心；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改变原先传统的培训为员工发展与绩效改进项目；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发掘员工调动和工作轮换的需求；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设计适合公司不同发展阶段的培训课程，并实施；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保证公司每一位员工每年所接受到的培训不少于</w:t>
                      </w:r>
                      <w:r>
                        <w:rPr>
                          <w:rFonts w:eastAsia="Perpetua Titling MT;苹方-简" w:cs="Perpetua Titling MT;苹方-简" w:ascii="Perpetua Titling MT;苹方-简" w:hAnsi="Perpetua Titling MT;苹方-简"/>
                        </w:rPr>
                        <w:t>40</w:t>
                      </w: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小时；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楷体_GB2312;汉仪楷体简" w:hAnsi="楷体_GB2312;汉仪楷体简"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为公司人力资源管理部门的其他活动提供帮助和支持；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spacing w:lineRule="auto" w:line="398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其它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6">
                <wp:simplePos x="0" y="0"/>
                <wp:positionH relativeFrom="column">
                  <wp:posOffset>224155</wp:posOffset>
                </wp:positionH>
                <wp:positionV relativeFrom="paragraph">
                  <wp:posOffset>-4445</wp:posOffset>
                </wp:positionV>
                <wp:extent cx="4923790" cy="1990090"/>
                <wp:effectExtent l="0" t="76200" r="7620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90" cy="1990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eastAsia="楷体_GB2312;汉仪楷体简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  <w:b/>
                                <w:bCs/>
                              </w:rPr>
                              <w:t>对工作岗位简单的描述以及主要工作职责（以培训课程设计岗位为范例）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eastAsia="楷体_GB2312;汉仪楷体简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楷体_GB2312;汉仪楷体简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培训课程的计划与实施；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设计公司主管级培训项目，并实施培训；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人力资源研究与数据分析；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员工发展的评价；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与大学或专业学院保良好关系；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设计、实施人力资源调查问卷；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398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与公司人力资源管理部门保持联系；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87.7pt;height:156.7pt;mso-wrap-distance-left:9.05pt;mso-wrap-distance-right:9.05pt;mso-wrap-distance-top:0pt;mso-wrap-distance-bottom:0pt;margin-top:-0.35pt;mso-position-vertical-relative:text;margin-left:17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eastAsia="楷体_GB2312;汉仪楷体简"/>
                          <w:b/>
                          <w:b/>
                          <w:bCs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  <w:b/>
                          <w:bCs/>
                        </w:rPr>
                        <w:t>对工作岗位简单的描述以及主要工作职责（以培训课程设计岗位为范例）</w:t>
                      </w:r>
                    </w:p>
                    <w:p>
                      <w:pPr>
                        <w:pStyle w:val="Normal"/>
                        <w:rPr>
                          <w:rFonts w:eastAsia="楷体_GB2312;汉仪楷体简"/>
                          <w:b/>
                          <w:b/>
                          <w:bCs/>
                        </w:rPr>
                      </w:pPr>
                      <w:r>
                        <w:rPr>
                          <w:rFonts w:eastAsia="楷体_GB2312;汉仪楷体简"/>
                          <w:b/>
                          <w:bCs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培训课程的计划与实施；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设计公司主管级培训项目，并实施培训；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人力资源研究与数据分析；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员工发展的评价；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与大学或专业学院保良好关系；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设计、实施人力资源调查问卷；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lineRule="auto" w:line="398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与公司人力资源管理部门保持联系；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</w:rPr>
      </w:pPr>
      <w:r>
        <w:rPr>
          <w:rFonts w:ascii="Perpetua Titling MT;苹方-简" w:hAnsi="Perpetua Titling MT;苹方-简" w:cs="Perpetua Titling MT;苹方-简" w:eastAsia="Perpetua Titling MT;苹方-简"/>
        </w:rPr>
        <w:t>目标管理绩效评价法</w:t>
      </w:r>
      <w:r>
        <w:rPr>
          <w:rFonts w:ascii="Perpetua Titling MT;苹方-简" w:hAnsi="Perpetua Titling MT;苹方-简" w:cs="Perpetua Titling MT;苹方-简" w:eastAsia="Perpetua Titling MT;苹方-简"/>
          <w:b/>
          <w:bCs/>
        </w:rPr>
        <w:t>第一部分</w:t>
      </w:r>
      <w:r>
        <w:rPr>
          <w:rFonts w:ascii="Perpetua Titling MT;苹方-简" w:hAnsi="Perpetua Titling MT;苹方-简" w:cs="Perpetua Titling MT;苹方-简" w:eastAsia="Perpetua Titling MT;苹方-简"/>
        </w:rPr>
        <w:t>：工作目标、计划成果以及个人为完成目标所具有的优势</w: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</w:rPr>
      </w:pPr>
      <w:r>
        <w:rPr>
          <w:rFonts w:eastAsia="黑体;汉仪中黑KW" w:ascii="黑体;汉仪中黑KW" w:hAnsi="黑体;汉仪中黑KW"/>
        </w:rPr>
      </w:r>
    </w:p>
    <w:tbl>
      <w:tblPr>
        <w:tblW w:w="77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3"/>
        <w:gridCol w:w="3947"/>
      </w:tblGrid>
      <w:tr>
        <w:trPr/>
        <w:tc>
          <w:tcPr>
            <w:tcW w:w="3793" w:type="dxa"/>
            <w:tcBorders>
              <w:top w:val="threeDEngrave" w:sz="6" w:space="0" w:color="000000"/>
              <w:start w:val="threeDEngrav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工作目标</w:t>
            </w:r>
          </w:p>
        </w:tc>
        <w:tc>
          <w:tcPr>
            <w:tcW w:w="3947" w:type="dxa"/>
            <w:tcBorders>
              <w:top w:val="threeDEngrave" w:sz="6" w:space="0" w:color="000000"/>
              <w:start w:val="single" w:sz="4" w:space="0" w:color="000000"/>
              <w:bottom w:val="single" w:sz="4" w:space="0" w:color="000000"/>
              <w:end w:val="threeDEngrave" w:sz="6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工作产出、成果和程度以及优势</w:t>
            </w:r>
          </w:p>
        </w:tc>
      </w:tr>
      <w:tr>
        <w:trPr>
          <w:trHeight w:val="3392" w:hRule="atLeast"/>
        </w:trPr>
        <w:tc>
          <w:tcPr>
            <w:tcW w:w="3793" w:type="dxa"/>
            <w:tcBorders>
              <w:top w:val="single" w:sz="4" w:space="0" w:color="000000"/>
              <w:start w:val="threeDEngrave" w:sz="6" w:space="0" w:color="000000"/>
              <w:bottom w:val="threeDEngrave" w:sz="6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培训课程的计划与实施；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设计公司主管级培训项目，并实施培训；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人力资源研究与数据分析；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员工发展的评价；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与大学或专业学院保良好关系；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设计、实施人力资源调查问卷；</w:t>
            </w:r>
          </w:p>
          <w:p>
            <w:pPr>
              <w:pStyle w:val="Normal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</w:tc>
        <w:tc>
          <w:tcPr>
            <w:tcW w:w="3947" w:type="dxa"/>
            <w:tcBorders>
              <w:top w:val="single" w:sz="4" w:space="0" w:color="000000"/>
              <w:start w:val="single" w:sz="4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</w:rPr>
            </w:pPr>
            <w:r>
              <w:rPr>
                <w:rFonts w:eastAsia="黑体;汉仪中黑KW" w:ascii="黑体;汉仪中黑KW" w:hAnsi="黑体;汉仪中黑KW"/>
              </w:rPr>
            </w:r>
          </w:p>
        </w:tc>
      </w:tr>
    </w:tbl>
    <w:p>
      <w:pPr>
        <w:pStyle w:val="Normal"/>
        <w:spacing w:lineRule="auto" w:line="398"/>
        <w:jc w:val="center"/>
        <w:rPr>
          <w:rFonts w:ascii="黑体;汉仪中黑KW" w:hAnsi="黑体;汉仪中黑KW" w:eastAsia="黑体;汉仪中黑KW" w:cs="Perpetua Titling MT;苹方-简"/>
        </w:rPr>
      </w:pPr>
      <w:r>
        <w:rPr>
          <w:rFonts w:ascii="黑体;汉仪中黑KW" w:hAnsi="黑体;汉仪中黑KW" w:cs="Perpetua Titling MT;苹方-简" w:eastAsia="黑体;汉仪中黑KW"/>
        </w:rPr>
        <w:t>上级直接主管的总体绩效评价</w:t>
      </w:r>
    </w:p>
    <w:tbl>
      <w:tblPr>
        <w:tblW w:w="77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704"/>
        <w:gridCol w:w="1704"/>
        <w:gridCol w:w="1705"/>
        <w:gridCol w:w="1391"/>
      </w:tblGrid>
      <w:tr>
        <w:trPr/>
        <w:tc>
          <w:tcPr>
            <w:tcW w:w="1236" w:type="dxa"/>
            <w:tcBorders>
              <w:top w:val="threeDEngrave" w:sz="12" w:space="0" w:color="000000"/>
              <w:start w:val="threeDEngrav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远低于期望</w:t>
            </w:r>
          </w:p>
        </w:tc>
        <w:tc>
          <w:tcPr>
            <w:tcW w:w="1704" w:type="dxa"/>
            <w:tcBorders>
              <w:top w:val="threeDEngrav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低于期望</w:t>
            </w:r>
          </w:p>
        </w:tc>
        <w:tc>
          <w:tcPr>
            <w:tcW w:w="1704" w:type="dxa"/>
            <w:tcBorders>
              <w:top w:val="threeDEngrav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达到期望</w:t>
            </w:r>
          </w:p>
        </w:tc>
        <w:tc>
          <w:tcPr>
            <w:tcW w:w="1705" w:type="dxa"/>
            <w:tcBorders>
              <w:top w:val="threeDEngrav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超出期望</w:t>
            </w:r>
          </w:p>
        </w:tc>
        <w:tc>
          <w:tcPr>
            <w:tcW w:w="1391" w:type="dxa"/>
            <w:tcBorders>
              <w:top w:val="threeDEngrave" w:sz="12" w:space="0" w:color="000000"/>
              <w:start w:val="single" w:sz="4" w:space="0" w:color="000000"/>
              <w:bottom w:val="single" w:sz="4" w:space="0" w:color="000000"/>
              <w:end w:val="threeDEngrave" w:sz="12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远超出期望</w:t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threeDEngrave" w:sz="12" w:space="0" w:color="000000"/>
              <w:bottom w:val="threeDEngrav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threeDEngrav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 w:val="18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threeDEngrave" w:sz="12" w:space="0" w:color="000000"/>
              <w:end w:val="single" w:sz="4" w:space="0" w:color="000000"/>
            </w:tcBorders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spacing w:lineRule="auto" w:line="398"/>
              <w:rPr>
                <w:rFonts w:ascii="黑体;汉仪中黑KW" w:hAnsi="黑体;汉仪中黑KW" w:eastAsia="黑体;汉仪中黑KW"/>
                <w:szCs w:val="24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threeDEngrave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 w:val="18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start w:val="single" w:sz="4" w:space="0" w:color="000000"/>
              <w:bottom w:val="threeDEngrave" w:sz="12" w:space="0" w:color="000000"/>
              <w:end w:val="threeDEngrave" w:sz="12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 w:val="18"/>
              </w:rPr>
              <w:t>4</w:t>
            </w:r>
          </w:p>
        </w:tc>
      </w:tr>
    </w:tbl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7">
                <wp:simplePos x="0" y="0"/>
                <wp:positionH relativeFrom="column">
                  <wp:posOffset>109855</wp:posOffset>
                </wp:positionH>
                <wp:positionV relativeFrom="paragraph">
                  <wp:posOffset>174625</wp:posOffset>
                </wp:positionV>
                <wp:extent cx="5038090" cy="1692910"/>
                <wp:effectExtent l="0" t="76200" r="76200" b="0"/>
                <wp:wrapNone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1692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eastAsia="楷体_GB2312;汉仪楷体简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  <w:b/>
                                <w:bCs/>
                              </w:rPr>
                              <w:t>就员工总体绩效的直接上级主管的评价（可列举关键事件）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96.7pt;height:133.3pt;mso-wrap-distance-left:9.05pt;mso-wrap-distance-right:9.05pt;mso-wrap-distance-top:0pt;mso-wrap-distance-bottom:0pt;margin-top:13.75pt;mso-position-vertical-relative:text;margin-left:8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eastAsia="楷体_GB2312;汉仪楷体简"/>
                          <w:b/>
                          <w:b/>
                          <w:bCs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  <w:b/>
                          <w:bCs/>
                        </w:rPr>
                        <w:t>就员工总体绩效的直接上级主管的评价（可列举关键事件）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</w:rPr>
      </w:pPr>
      <w:r>
        <w:rPr>
          <w:rFonts w:ascii="Perpetua Titling MT;苹方-简" w:hAnsi="Perpetua Titling MT;苹方-简" w:cs="Perpetua Titling MT;苹方-简" w:eastAsia="Perpetua Titling MT;苹方-简"/>
        </w:rPr>
        <w:t>目标管理绩效评价法</w:t>
      </w:r>
      <w:r>
        <w:rPr>
          <w:rFonts w:ascii="Perpetua Titling MT;苹方-简" w:hAnsi="Perpetua Titling MT;苹方-简" w:cs="Perpetua Titling MT;苹方-简" w:eastAsia="Perpetua Titling MT;苹方-简"/>
          <w:b/>
          <w:bCs/>
        </w:rPr>
        <w:t>第二部分</w:t>
      </w:r>
      <w:r>
        <w:rPr>
          <w:rFonts w:ascii="Perpetua Titling MT;苹方-简" w:hAnsi="Perpetua Titling MT;苹方-简" w:cs="Perpetua Titling MT;苹方-简" w:eastAsia="Perpetua Titling MT;苹方-简"/>
        </w:rPr>
        <w:t>：未来的工作目标和计划，总结下</w:t>
      </w:r>
      <w:r>
        <w:rPr>
          <w:rFonts w:eastAsia="Perpetua Titling MT;苹方-简" w:cs="Perpetua Titling MT;苹方-简" w:ascii="Perpetua Titling MT;苹方-简" w:hAnsi="Perpetua Titling MT;苹方-简"/>
        </w:rPr>
        <w:t>6</w:t>
      </w:r>
      <w:r>
        <w:rPr>
          <w:rFonts w:ascii="Perpetua Titling MT;苹方-简" w:hAnsi="Perpetua Titling MT;苹方-简" w:cs="Perpetua Titling MT;苹方-简" w:eastAsia="Perpetua Titling MT;苹方-简"/>
        </w:rPr>
        <w:t>个月主要的工作目标（含量化数据）</w: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</w:rPr>
      </w:pPr>
      <w:r>
        <w:rPr>
          <w:rFonts w:eastAsia="黑体;汉仪中黑KW" w:ascii="黑体;汉仪中黑KW" w:hAnsi="黑体;汉仪中黑KW"/>
        </w:rPr>
      </w:r>
    </w:p>
    <w:tbl>
      <w:tblPr>
        <w:tblW w:w="792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3"/>
        <w:gridCol w:w="3947"/>
      </w:tblGrid>
      <w:tr>
        <w:trPr/>
        <w:tc>
          <w:tcPr>
            <w:tcW w:w="3973" w:type="dxa"/>
            <w:tcBorders>
              <w:top w:val="threeDEngrave" w:sz="12" w:space="0" w:color="000000"/>
              <w:start w:val="threeDEngrav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未来绩效目标</w:t>
            </w:r>
          </w:p>
        </w:tc>
        <w:tc>
          <w:tcPr>
            <w:tcW w:w="3947" w:type="dxa"/>
            <w:tcBorders>
              <w:top w:val="threeDEngrave" w:sz="12" w:space="0" w:color="000000"/>
              <w:start w:val="single" w:sz="4" w:space="0" w:color="000000"/>
              <w:bottom w:val="single" w:sz="4" w:space="0" w:color="000000"/>
              <w:end w:val="threeDEngrave" w:sz="12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计划采取的行动</w:t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start w:val="threeDEngrave" w:sz="12" w:space="0" w:color="000000"/>
              <w:bottom w:val="threeDEngrav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黑体;汉仪中黑KW" w:hAnsi="黑体;汉仪中黑KW" w:eastAsia="黑体;汉仪中黑KW"/>
                <w:sz w:val="24"/>
              </w:rPr>
            </w:pPr>
            <w:r>
              <w:rPr>
                <w:rFonts w:eastAsia="黑体;汉仪中黑KW" w:ascii="黑体;汉仪中黑KW" w:hAnsi="黑体;汉仪中黑KW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黑体;汉仪中黑KW" w:hAnsi="黑体;汉仪中黑KW" w:eastAsia="黑体;汉仪中黑KW"/>
                <w:sz w:val="24"/>
              </w:rPr>
            </w:pPr>
            <w:r>
              <w:rPr>
                <w:rFonts w:eastAsia="黑体;汉仪中黑KW" w:ascii="黑体;汉仪中黑KW" w:hAnsi="黑体;汉仪中黑KW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黑体;汉仪中黑KW" w:hAnsi="黑体;汉仪中黑KW" w:eastAsia="黑体;汉仪中黑KW"/>
                <w:sz w:val="24"/>
              </w:rPr>
            </w:pPr>
            <w:r>
              <w:rPr>
                <w:rFonts w:eastAsia="黑体;汉仪中黑KW" w:ascii="黑体;汉仪中黑KW" w:hAnsi="黑体;汉仪中黑KW"/>
                <w:sz w:val="24"/>
              </w:rPr>
            </w:r>
          </w:p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24"/>
              </w:rPr>
            </w:pPr>
            <w:r>
              <w:rPr>
                <w:rFonts w:eastAsia="黑体;汉仪中黑KW" w:ascii="黑体;汉仪中黑KW" w:hAnsi="黑体;汉仪中黑KW"/>
                <w:sz w:val="24"/>
              </w:rPr>
            </w:r>
          </w:p>
        </w:tc>
        <w:tc>
          <w:tcPr>
            <w:tcW w:w="3947" w:type="dxa"/>
            <w:tcBorders>
              <w:top w:val="single" w:sz="4" w:space="0" w:color="000000"/>
              <w:start w:val="single" w:sz="4" w:space="0" w:color="000000"/>
              <w:bottom w:val="threeDEngrave" w:sz="12" w:space="0" w:color="000000"/>
              <w:end w:val="threeDEngrav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  <w:sz w:val="24"/>
              </w:rPr>
            </w:pPr>
            <w:r>
              <w:rPr>
                <w:rFonts w:eastAsia="黑体;汉仪中黑KW" w:ascii="黑体;汉仪中黑KW" w:hAnsi="黑体;汉仪中黑KW"/>
                <w:sz w:val="24"/>
              </w:rPr>
            </w:r>
          </w:p>
        </w:tc>
      </w:tr>
    </w:tbl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8">
                <wp:simplePos x="0" y="0"/>
                <wp:positionH relativeFrom="column">
                  <wp:posOffset>109855</wp:posOffset>
                </wp:positionH>
                <wp:positionV relativeFrom="paragraph">
                  <wp:posOffset>155575</wp:posOffset>
                </wp:positionV>
                <wp:extent cx="5038090" cy="1197610"/>
                <wp:effectExtent l="0" t="76200" r="76200" b="0"/>
                <wp:wrapNone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计划在员工的工作任务和主要职责中做出变动的部分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jc w:val="center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（由主管上级填写，并与员工沟通）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96.7pt;height:94.3pt;mso-wrap-distance-left:9.05pt;mso-wrap-distance-right:9.05pt;mso-wrap-distance-top:0pt;mso-wrap-distance-bottom:0pt;margin-top:12.25pt;mso-position-vertical-relative:text;margin-left:8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计划在员工的工作任务和主要职责中做出变动的部分</w:t>
                      </w:r>
                    </w:p>
                    <w:p>
                      <w:pPr>
                        <w:pStyle w:val="Normal"/>
                        <w:spacing w:lineRule="auto" w:line="398"/>
                        <w:jc w:val="center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（由主管上级填写，并与员工沟通）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</w:rPr>
      </w:pPr>
      <w:r>
        <w:rPr>
          <w:rFonts w:ascii="黑体;汉仪中黑KW" w:hAnsi="黑体;汉仪中黑KW" w:cs="Perpetua Titling MT;苹方-简" w:eastAsia="黑体;汉仪中黑KW"/>
        </w:rPr>
        <w:t>目标管理绩效评价法</w:t>
      </w:r>
      <w:r>
        <w:rPr>
          <w:rFonts w:ascii="黑体;汉仪中黑KW" w:hAnsi="黑体;汉仪中黑KW" w:cs="Perpetua Titling MT;苹方-简" w:eastAsia="黑体;汉仪中黑KW"/>
          <w:b/>
          <w:bCs/>
        </w:rPr>
        <w:t>第三部分</w:t>
      </w:r>
      <w:r>
        <w:rPr>
          <w:rFonts w:ascii="黑体;汉仪中黑KW" w:hAnsi="黑体;汉仪中黑KW" w:cs="Perpetua Titling MT;苹方-简" w:eastAsia="黑体;汉仪中黑KW"/>
        </w:rPr>
        <w:t>：培训计划，识别出培训需求用以改进或进一步提高员工工作绩效。</w:t>
      </w:r>
    </w:p>
    <w:tbl>
      <w:tblPr>
        <w:tblW w:w="792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6"/>
        <w:gridCol w:w="2694"/>
        <w:gridCol w:w="2380"/>
      </w:tblGrid>
      <w:tr>
        <w:trPr/>
        <w:tc>
          <w:tcPr>
            <w:tcW w:w="2846" w:type="dxa"/>
            <w:tcBorders>
              <w:top w:val="threeDEmboss" w:sz="12" w:space="0" w:color="000000"/>
              <w:start w:val="threeDEmboss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目前工作角色</w:t>
            </w:r>
          </w:p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（员工短期培训需求）</w:t>
            </w:r>
          </w:p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黑体;汉仪中黑KW" w:ascii="黑体;汉仪中黑KW" w:hAnsi="黑体;汉仪中黑KW"/>
                <w:sz w:val="18"/>
              </w:rPr>
            </w:r>
          </w:p>
        </w:tc>
        <w:tc>
          <w:tcPr>
            <w:tcW w:w="2694" w:type="dxa"/>
            <w:tcBorders>
              <w:top w:val="threeDEmboss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工作中所需要的行为</w:t>
            </w:r>
          </w:p>
        </w:tc>
        <w:tc>
          <w:tcPr>
            <w:tcW w:w="2380" w:type="dxa"/>
            <w:tcBorders>
              <w:top w:val="threeDEmboss" w:sz="12" w:space="0" w:color="000000"/>
              <w:start w:val="single" w:sz="4" w:space="0" w:color="000000"/>
              <w:bottom w:val="single" w:sz="4" w:space="0" w:color="000000"/>
              <w:end w:val="threeDEmboss" w:sz="12" w:space="0" w:color="000000"/>
            </w:tcBorders>
          </w:tcPr>
          <w:p>
            <w:pPr>
              <w:pStyle w:val="Normal"/>
              <w:spacing w:lineRule="auto" w:line="398"/>
              <w:jc w:val="center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培训时间安排</w:t>
            </w:r>
          </w:p>
        </w:tc>
      </w:tr>
      <w:tr>
        <w:trPr/>
        <w:tc>
          <w:tcPr>
            <w:tcW w:w="2846" w:type="dxa"/>
            <w:tcBorders>
              <w:top w:val="single" w:sz="4" w:space="0" w:color="000000"/>
              <w:start w:val="threeDEmboss" w:sz="12" w:space="0" w:color="000000"/>
              <w:bottom w:val="threeDEmboss" w:sz="12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18"/>
              </w:rPr>
              <w:t>未来工作角色（员工长期发展）</w:t>
            </w:r>
          </w:p>
          <w:p>
            <w:pPr>
              <w:pStyle w:val="Normal"/>
              <w:spacing w:lineRule="auto" w:line="360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黑体;汉仪中黑KW" w:ascii="黑体;汉仪中黑KW" w:hAnsi="黑体;汉仪中黑KW"/>
                <w:sz w:val="18"/>
              </w:rPr>
            </w:r>
          </w:p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黑体;汉仪中黑KW" w:ascii="黑体;汉仪中黑KW" w:hAnsi="黑体;汉仪中黑KW"/>
                <w:sz w:val="18"/>
              </w:rPr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threeDEmboss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黑体;汉仪中黑KW" w:ascii="黑体;汉仪中黑KW" w:hAnsi="黑体;汉仪中黑KW"/>
                <w:sz w:val="18"/>
              </w:rPr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threeDEmboss" w:sz="12" w:space="0" w:color="000000"/>
              <w:end w:val="threeDEmboss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  <w:sz w:val="18"/>
              </w:rPr>
            </w:pPr>
            <w:r>
              <w:rPr>
                <w:rFonts w:eastAsia="黑体;汉仪中黑KW" w:ascii="黑体;汉仪中黑KW" w:hAnsi="黑体;汉仪中黑KW"/>
                <w:sz w:val="18"/>
              </w:rPr>
            </w:r>
          </w:p>
        </w:tc>
      </w:tr>
    </w:tbl>
    <w:p>
      <w:pPr>
        <w:pStyle w:val="Normal"/>
        <w:spacing w:lineRule="auto" w:line="360"/>
        <w:rPr>
          <w:rFonts w:ascii="黑体;汉仪中黑KW" w:hAnsi="黑体;汉仪中黑KW" w:eastAsia="黑体;汉仪中黑KW"/>
        </w:rPr>
      </w:pPr>
      <w:r>
        <w:rPr>
          <w:rFonts w:eastAsia="黑体;汉仪中黑KW" w:ascii="黑体;汉仪中黑KW" w:hAnsi="黑体;汉仪中黑KW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</w:rPr>
      </w:pPr>
      <w:r>
        <w:rPr>
          <w:rFonts w:ascii="Perpetua Titling MT;苹方-简" w:hAnsi="Perpetua Titling MT;苹方-简" w:cs="Perpetua Titling MT;苹方-简" w:eastAsia="Perpetua Titling MT;苹方-简"/>
        </w:rPr>
        <w:t>目标管理绩效评价法</w:t>
      </w:r>
      <w:r>
        <w:rPr>
          <w:rFonts w:ascii="Perpetua Titling MT;苹方-简" w:hAnsi="Perpetua Titling MT;苹方-简" w:cs="Perpetua Titling MT;苹方-简" w:eastAsia="Perpetua Titling MT;苹方-简"/>
          <w:b/>
          <w:bCs/>
        </w:rPr>
        <w:t>第四部分</w:t>
      </w:r>
      <w:r>
        <w:rPr>
          <w:rFonts w:ascii="Perpetua Titling MT;苹方-简" w:hAnsi="Perpetua Titling MT;苹方-简" w:cs="Perpetua Titling MT;苹方-简" w:eastAsia="Perpetua Titling MT;苹方-简"/>
        </w:rPr>
        <w:t>：员工职业生涯计划</w:t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0"/>
        </w:rPr>
      </w:pPr>
      <w:r>
        <w:rPr>
          <w:rFonts w:eastAsia="黑体;汉仪中黑KW" w:ascii="黑体;汉仪中黑KW" w:hAnsi="黑体;汉仪中黑KW"/>
          <w:sz w:val="20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9">
                <wp:simplePos x="0" y="0"/>
                <wp:positionH relativeFrom="column">
                  <wp:posOffset>224155</wp:posOffset>
                </wp:positionH>
                <wp:positionV relativeFrom="paragraph">
                  <wp:posOffset>94615</wp:posOffset>
                </wp:positionV>
                <wp:extent cx="4809490" cy="1395730"/>
                <wp:effectExtent l="0" t="76200" r="76200" b="0"/>
                <wp:wrapNone/>
                <wp:docPr id="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395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你对未来职业生涯的计划是什么？描述一下，你如何实现这个目标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8.7pt;height:109.9pt;mso-wrap-distance-left:9.05pt;mso-wrap-distance-right:9.05pt;mso-wrap-distance-top:0pt;mso-wrap-distance-bottom:0pt;margin-top:7.45pt;mso-position-vertical-relative:text;margin-left:17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你对未来职业生涯的计划是什么？描述一下，你如何实现这个目标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  <w:r>
        <mc:AlternateContent>
          <mc:Choice Requires="wps">
            <w:drawing>
              <wp:anchor behindDoc="0" distT="0" distB="0" distL="114935" distR="38735" simplePos="0" locked="0" layoutInCell="0" allowOverlap="1" relativeHeight="10">
                <wp:simplePos x="0" y="0"/>
                <wp:positionH relativeFrom="column">
                  <wp:posOffset>224155</wp:posOffset>
                </wp:positionH>
                <wp:positionV relativeFrom="paragraph">
                  <wp:posOffset>193675</wp:posOffset>
                </wp:positionV>
                <wp:extent cx="4809490" cy="1692910"/>
                <wp:effectExtent l="0" t="76200" r="76200" b="0"/>
                <wp:wrapNone/>
                <wp:docPr id="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692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员工对绩效评价的意见：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eastAsia="楷体_GB2312;汉仪楷体简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eastAsia="Perpetua Titling MT;苹方-简" w:cs="Perpetua Titling MT;苹方-简" w:ascii="Perpetua Titling MT;苹方-简" w:hAnsi="Perpetua Titling MT;苹方-简"/>
                              </w:rPr>
                              <w:t xml:space="preserve">   </w:t>
                            </w: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我同意（不同意）上述绩效评价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eastAsia="楷体_GB2312;汉仪楷体简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雇员签字：                         日期：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eastAsia="楷体_GB2312;汉仪楷体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主管签字：                         日期：</w:t>
                            </w:r>
                          </w:p>
                          <w:p>
                            <w:pPr>
                              <w:pStyle w:val="Normal"/>
                              <w:spacing w:lineRule="auto" w:line="398"/>
                              <w:rPr>
                                <w:rFonts w:ascii="Perpetua Titling MT;苹方-简" w:hAnsi="Perpetua Titling MT;苹方-简" w:eastAsia="Perpetua Titling MT;苹方-简" w:cs="Perpetua Titling MT;苹方-简"/>
                              </w:rPr>
                            </w:pPr>
                            <w:r>
                              <w:rPr>
                                <w:rFonts w:ascii="Perpetua Titling MT;苹方-简" w:hAnsi="Perpetua Titling MT;苹方-简" w:cs="Perpetua Titling MT;苹方-简" w:eastAsia="Perpetua Titling MT;苹方-简"/>
                              </w:rPr>
                              <w:t>人力资源管理部门经理签字：         日期：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8.7pt;height:133.3pt;mso-wrap-distance-left:9.05pt;mso-wrap-distance-right:9.05pt;mso-wrap-distance-top:0pt;mso-wrap-distance-bottom:0pt;margin-top:15.25pt;mso-position-vertical-relative:text;margin-left:17.6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员工对绩效评价的意见：</w:t>
                      </w:r>
                    </w:p>
                    <w:p>
                      <w:pPr>
                        <w:pStyle w:val="Normal"/>
                        <w:rPr>
                          <w:rFonts w:eastAsia="楷体_GB2312;汉仪楷体简"/>
                        </w:rPr>
                      </w:pPr>
                      <w:r>
                        <w:rPr>
                          <w:rFonts w:eastAsia="楷体_GB2312;汉仪楷体简"/>
                        </w:rPr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eastAsia="Perpetua Titling MT;苹方-简" w:cs="Perpetua Titling MT;苹方-简" w:ascii="Perpetua Titling MT;苹方-简" w:hAnsi="Perpetua Titling MT;苹方-简"/>
                        </w:rPr>
                        <w:t xml:space="preserve">   </w:t>
                      </w: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我同意（不同意）上述绩效评价</w:t>
                      </w:r>
                    </w:p>
                    <w:p>
                      <w:pPr>
                        <w:pStyle w:val="Normal"/>
                        <w:rPr>
                          <w:rFonts w:eastAsia="楷体_GB2312;汉仪楷体简"/>
                        </w:rPr>
                      </w:pPr>
                      <w:r>
                        <w:rPr>
                          <w:rFonts w:eastAsia="楷体_GB2312;汉仪楷体简"/>
                        </w:rPr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雇员签字：                         日期：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eastAsia="楷体_GB2312;汉仪楷体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主管签字：                         日期：</w:t>
                      </w:r>
                    </w:p>
                    <w:p>
                      <w:pPr>
                        <w:pStyle w:val="Normal"/>
                        <w:spacing w:lineRule="auto" w:line="398"/>
                        <w:rPr>
                          <w:rFonts w:ascii="Perpetua Titling MT;苹方-简" w:hAnsi="Perpetua Titling MT;苹方-简" w:eastAsia="Perpetua Titling MT;苹方-简" w:cs="Perpetua Titling MT;苹方-简"/>
                        </w:rPr>
                      </w:pPr>
                      <w:r>
                        <w:rPr>
                          <w:rFonts w:ascii="Perpetua Titling MT;苹方-简" w:hAnsi="Perpetua Titling MT;苹方-简" w:cs="Perpetua Titling MT;苹方-简" w:eastAsia="Perpetua Titling MT;苹方-简"/>
                        </w:rPr>
                        <w:t>人力资源管理部门经理签字：         日期：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spacing w:lineRule="auto" w:line="360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rPr>
          <w:rFonts w:ascii="黑体;汉仪中黑KW" w:hAnsi="黑体;汉仪中黑KW" w:eastAsia="黑体;汉仪中黑KW"/>
          <w:sz w:val="24"/>
        </w:rPr>
      </w:pPr>
      <w:r>
        <w:rPr>
          <w:rFonts w:eastAsia="黑体;汉仪中黑KW" w:ascii="黑体;汉仪中黑KW" w:hAnsi="黑体;汉仪中黑KW"/>
          <w:sz w:val="24"/>
        </w:rPr>
      </w:r>
    </w:p>
    <w:p>
      <w:pPr>
        <w:pStyle w:val="Normal"/>
        <w:rPr/>
      </w:pPr>
      <w:r>
        <w:rPr/>
      </w:r>
    </w:p>
    <w:p>
      <w:pPr>
        <w:pStyle w:val="Heading4"/>
        <w:spacing w:lineRule="auto" w:line="398"/>
        <w:jc w:val="center"/>
        <w:rPr>
          <w:rFonts w:ascii="黑体;汉仪中黑KW" w:hAnsi="黑体;汉仪中黑KW" w:eastAsia="黑体;汉仪中黑KW" w:cs="Perpetua Titling MT;苹方-简"/>
          <w:sz w:val="28"/>
        </w:rPr>
      </w:pPr>
      <w:r>
        <w:rPr>
          <w:rFonts w:ascii="黑体;汉仪中黑KW" w:hAnsi="黑体;汉仪中黑KW" w:cs="Perpetua Titling MT;苹方-简" w:eastAsia="黑体;汉仪中黑KW"/>
          <w:sz w:val="28"/>
        </w:rPr>
        <w:t>绩效考核面谈表</w:t>
      </w:r>
    </w:p>
    <w:tbl>
      <w:tblPr>
        <w:tblW w:w="8341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013"/>
        <w:gridCol w:w="3600"/>
        <w:gridCol w:w="648"/>
        <w:gridCol w:w="2080"/>
      </w:tblGrid>
      <w:tr>
        <w:trPr>
          <w:trHeight w:val="567" w:hRule="atLeast"/>
        </w:trPr>
        <w:tc>
          <w:tcPr>
            <w:tcW w:w="20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部门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职位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姓名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黑体;汉仪中黑KW" w:ascii="黑体;汉仪中黑KW" w:hAnsi="黑体;汉仪中黑KW"/>
                <w:szCs w:val="18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0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考核日期</w:t>
            </w:r>
          </w:p>
        </w:tc>
        <w:tc>
          <w:tcPr>
            <w:tcW w:w="632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</w:t>
            </w: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年</w:t>
            </w: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</w:t>
            </w: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月</w:t>
            </w: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</w:t>
            </w: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工作成功的方面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工作中需要改善的地方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是否需要接受一定的培训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本人认为自己的工作在本部门和全公司中处于什么状况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本人认为本部门工作最好、最差的是谁？全公司呢？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对考核有什么意见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希望从公司得到怎样的帮助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下一步的工作和绩效的改进方向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108" w:type="dxa"/>
              <w:bottom w:w="0" w:type="dxa"/>
              <w:end w:w="108" w:type="dxa"/>
            </w:tcMar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面谈人签名：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日期：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黑体;汉仪中黑KW" w:ascii="黑体;汉仪中黑KW" w:hAnsi="黑体;汉仪中黑KW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56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Cs w:val="18"/>
              </w:rPr>
              <w:t>备注：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rFonts w:ascii="黑体;汉仪中黑KW" w:hAnsi="黑体;汉仪中黑KW" w:eastAsia="黑体;汉仪中黑KW"/>
                <w:szCs w:val="18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Cs w:val="18"/>
              </w:rPr>
              <w:t> </w:t>
            </w:r>
          </w:p>
        </w:tc>
      </w:tr>
    </w:tbl>
    <w:p>
      <w:pPr>
        <w:pStyle w:val="Style13"/>
        <w:spacing w:lineRule="auto" w:line="398"/>
        <w:jc w:val="center"/>
        <w:rPr>
          <w:rFonts w:ascii="黑体;汉仪中黑KW" w:hAnsi="黑体;汉仪中黑KW" w:eastAsia="黑体;汉仪中黑KW"/>
          <w:sz w:val="21"/>
          <w:szCs w:val="18"/>
        </w:rPr>
      </w:pPr>
      <w:r>
        <w:rPr>
          <w:rFonts w:ascii="Perpetua Titling MT;苹方-简" w:hAnsi="Perpetua Titling MT;苹方-简" w:cs="Perpetua Titling MT;苹方-简" w:eastAsia="Perpetua Titling MT;苹方-简"/>
          <w:sz w:val="21"/>
          <w:szCs w:val="18"/>
        </w:rPr>
        <w:t>说明：</w:t>
      </w:r>
    </w:p>
    <w:p>
      <w:pPr>
        <w:pStyle w:val="Normal"/>
        <w:spacing w:lineRule="auto" w:line="398"/>
        <w:rPr>
          <w:rFonts w:ascii="Perpetua Titling MT;苹方-简" w:hAnsi="Perpetua Titling MT;苹方-简" w:eastAsia="Perpetua Titling MT;苹方-简" w:cs="Perpetua Titling MT;苹方-简"/>
          <w:szCs w:val="18"/>
        </w:rPr>
      </w:pPr>
      <w:r>
        <w:rPr>
          <w:rFonts w:eastAsia="Perpetua Titling MT;苹方-简" w:cs="Perpetua Titling MT;苹方-简" w:ascii="Perpetua Titling MT;苹方-简" w:hAnsi="Perpetua Titling MT;苹方-简"/>
          <w:szCs w:val="18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Cs w:val="18"/>
        </w:rPr>
        <w:t>：绩效考核面谈表的目的是了解员工对绩效考核的反馈信息，并最终提高员工的业绩；</w:t>
      </w:r>
    </w:p>
    <w:p>
      <w:pPr>
        <w:pStyle w:val="Normal"/>
        <w:spacing w:lineRule="auto" w:line="398"/>
        <w:rPr>
          <w:rFonts w:ascii="黑体;汉仪中黑KW" w:hAnsi="黑体;汉仪中黑KW" w:eastAsia="黑体;汉仪中黑KW"/>
        </w:rPr>
      </w:pPr>
      <w:r>
        <w:rPr>
          <w:rFonts w:eastAsia="Perpetua Titling MT;苹方-简" w:cs="Perpetua Titling MT;苹方-简" w:ascii="Perpetua Titling MT;苹方-简" w:hAnsi="Perpetua Titling MT;苹方-简"/>
          <w:szCs w:val="18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Cs w:val="18"/>
        </w:rPr>
        <w:t>：绩效考核面谈应在考核结束后一周内由上级主管安排，并报行政人事部备案。</w:t>
      </w:r>
    </w:p>
    <w:p>
      <w:pPr>
        <w:pStyle w:val="Normal"/>
        <w:rPr>
          <w:rFonts w:ascii="黑体;汉仪中黑KW" w:hAnsi="黑体;汉仪中黑KW" w:eastAsia="黑体;汉仪中黑KW"/>
        </w:rPr>
      </w:pPr>
      <w:r>
        <w:rPr>
          <w:rFonts w:eastAsia="黑体;汉仪中黑KW" w:ascii="黑体;汉仪中黑KW" w:hAnsi="黑体;汉仪中黑K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98"/>
        <w:jc w:val="center"/>
        <w:rPr>
          <w:rFonts w:ascii="Perpetua Titling MT;苹方-简" w:hAnsi="Perpetua Titling MT;苹方-简" w:eastAsia="Perpetua Titling MT;苹方-简" w:cs="Perpetua Titling MT;苹方-简"/>
          <w:b/>
          <w:b/>
          <w:sz w:val="30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30"/>
        </w:rPr>
        <w:t>绩效考核申述表</w:t>
      </w:r>
    </w:p>
    <w:tbl>
      <w:tblPr>
        <w:tblW w:w="8520" w:type="dxa"/>
        <w:jc w:val="start"/>
        <w:tblInd w:w="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960"/>
        <w:gridCol w:w="1440"/>
        <w:gridCol w:w="723"/>
        <w:gridCol w:w="1317"/>
        <w:gridCol w:w="765"/>
        <w:gridCol w:w="1041"/>
        <w:gridCol w:w="1041"/>
        <w:gridCol w:w="1233"/>
      </w:tblGrid>
      <w:tr>
        <w:trPr>
          <w:trHeight w:val="519" w:hRule="atLeast"/>
        </w:trPr>
        <w:tc>
          <w:tcPr>
            <w:tcW w:w="96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Perpetua Titling MT;苹方-简" w:hAnsi="Perpetua Titling MT;苹方-简" w:eastAsia="Perpetua Titling MT;苹方-简" w:cs="Perpetua Titling MT;苹方-简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申述人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/>
            </w:pPr>
            <w:r>
              <w:rPr/>
            </w:r>
          </w:p>
        </w:tc>
        <w:tc>
          <w:tcPr>
            <w:tcW w:w="72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/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职位</w:t>
            </w:r>
          </w:p>
        </w:tc>
        <w:tc>
          <w:tcPr>
            <w:tcW w:w="131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Perpetua Titling MT;苹方-简" w:hAnsi="Perpetua Titling MT;苹方-简" w:eastAsia="Perpetua Titling MT;苹方-简" w:cs="Perpetua Titling MT;苹方-简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部门</w:t>
            </w:r>
          </w:p>
        </w:tc>
        <w:tc>
          <w:tcPr>
            <w:tcW w:w="104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rFonts w:ascii="Perpetua Titling MT;苹方-简" w:hAnsi="Perpetua Titling MT;苹方-简" w:eastAsia="Perpetua Titling MT;苹方-简" w:cs="Perpetua Titling MT;苹方-简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</w:rPr>
              <w:t>直接主管</w:t>
            </w:r>
          </w:p>
        </w:tc>
        <w:tc>
          <w:tcPr>
            <w:tcW w:w="123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/>
            </w:pPr>
            <w:r>
              <w:rPr/>
            </w:r>
          </w:p>
        </w:tc>
      </w:tr>
      <w:tr>
        <w:trPr>
          <w:trHeight w:val="1348" w:hRule="atLeast"/>
        </w:trPr>
        <w:tc>
          <w:tcPr>
            <w:tcW w:w="852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申述事件：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/>
            </w:r>
          </w:p>
        </w:tc>
      </w:tr>
      <w:tr>
        <w:trPr>
          <w:trHeight w:val="1869" w:hRule="atLeast"/>
        </w:trPr>
        <w:tc>
          <w:tcPr>
            <w:tcW w:w="852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申述理由（可以附页）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/>
            </w:r>
          </w:p>
        </w:tc>
      </w:tr>
      <w:tr>
        <w:trPr>
          <w:trHeight w:val="1662" w:hRule="atLeast"/>
        </w:trPr>
        <w:tc>
          <w:tcPr>
            <w:tcW w:w="852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申述处理意见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上级部门负责人签名：</w:t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日期：</w:t>
            </w:r>
          </w:p>
        </w:tc>
      </w:tr>
      <w:tr>
        <w:trPr>
          <w:trHeight w:val="1659" w:hRule="atLeast"/>
        </w:trPr>
        <w:tc>
          <w:tcPr>
            <w:tcW w:w="852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98" w:before="20" w:after="0"/>
              <w:rPr>
                <w:rFonts w:ascii="Perpetua Titling MT;苹方-简" w:hAnsi="Perpetua Titling MT;苹方-简" w:eastAsia="Perpetua Titling MT;苹方-简" w:cs="Perpetua Titling MT;苹方-简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申述处理意见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人力资源部负责人签名：</w:t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日期：</w:t>
            </w:r>
          </w:p>
        </w:tc>
      </w:tr>
      <w:tr>
        <w:trPr>
          <w:trHeight w:val="1659" w:hRule="atLeast"/>
        </w:trPr>
        <w:tc>
          <w:tcPr>
            <w:tcW w:w="852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申述处理结果</w:t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before="20" w:after="0"/>
              <w:rPr/>
            </w:pPr>
            <w:r>
              <w:rPr/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人力资源部负责人签名：</w:t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人事管理办公室负责人签名：</w:t>
            </w:r>
          </w:p>
          <w:p>
            <w:pPr>
              <w:pStyle w:val="Normal"/>
              <w:spacing w:lineRule="auto" w:line="398" w:before="20" w:after="0"/>
              <w:rPr/>
            </w:pP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                                   </w:t>
            </w:r>
            <w:r>
              <w:rPr>
                <w:rFonts w:eastAsia="Perpetua Titling MT;苹方-简" w:cs="Perpetua Titling MT;苹方-简" w:ascii="Perpetua Titling MT;苹方-简" w:hAnsi="Perpetua Titling MT;苹方-简"/>
              </w:rPr>
              <w:t xml:space="preserve">        </w:t>
            </w:r>
            <w:r>
              <w:rPr>
                <w:rFonts w:ascii="Perpetua Titling MT;苹方-简" w:hAnsi="Perpetua Titling MT;苹方-简" w:cs="Perpetua Titling MT;苹方-简" w:eastAsia="Perpetua Titling MT;苹方-简"/>
              </w:rPr>
              <w:t>日期：</w:t>
            </w:r>
          </w:p>
        </w:tc>
      </w:tr>
    </w:tbl>
    <w:p>
      <w:pPr>
        <w:pStyle w:val="Normal"/>
        <w:rPr>
          <w:rFonts w:eastAsia="Times New Roman"/>
        </w:rPr>
      </w:pPr>
      <w:r>
        <w:rPr>
          <w:rFonts w:eastAsia="Times New Roman"/>
        </w:rPr>
        <w:t xml:space="preserve">  </w:t>
      </w:r>
    </w:p>
    <w:p>
      <w:pPr>
        <w:pStyle w:val="Normal"/>
        <w:spacing w:lineRule="auto" w:line="398"/>
        <w:rPr/>
      </w:pPr>
      <w:r>
        <w:rPr>
          <w:rFonts w:eastAsia="Perpetua Titling MT;苹方-简" w:cs="Perpetua Titling MT;苹方-简" w:ascii="Perpetua Titling MT;苹方-简" w:hAnsi="Perpetua Titling MT;苹方-简"/>
        </w:rPr>
        <w:t>1</w:t>
      </w:r>
      <w:r>
        <w:rPr>
          <w:rFonts w:ascii="Perpetua Titling MT;苹方-简" w:hAnsi="Perpetua Titling MT;苹方-简" w:cs="Perpetua Titling MT;苹方-简" w:eastAsia="Perpetua Titling MT;苹方-简"/>
        </w:rPr>
        <w:t>、申述人必须在知道考核结果</w:t>
      </w:r>
      <w:r>
        <w:rPr>
          <w:rFonts w:eastAsia="Perpetua Titling MT;苹方-简" w:cs="Perpetua Titling MT;苹方-简" w:ascii="Perpetua Titling MT;苹方-简" w:hAnsi="Perpetua Titling MT;苹方-简"/>
        </w:rPr>
        <w:t>3</w:t>
      </w:r>
      <w:r>
        <w:rPr>
          <w:rFonts w:ascii="Perpetua Titling MT;苹方-简" w:hAnsi="Perpetua Titling MT;苹方-简" w:cs="Perpetua Titling MT;苹方-简" w:eastAsia="Perpetua Titling MT;苹方-简"/>
        </w:rPr>
        <w:t>日内提出申述，否则无效。</w:t>
      </w:r>
    </w:p>
    <w:p>
      <w:pPr>
        <w:pStyle w:val="Normal"/>
        <w:spacing w:lineRule="auto" w:line="398"/>
        <w:rPr/>
      </w:pPr>
      <w:r>
        <w:rPr>
          <w:rFonts w:eastAsia="Perpetua Titling MT;苹方-简" w:cs="Perpetua Titling MT;苹方-简" w:ascii="Perpetua Titling MT;苹方-简" w:hAnsi="Perpetua Titling MT;苹方-简"/>
        </w:rPr>
        <w:t>2</w:t>
      </w:r>
      <w:r>
        <w:rPr>
          <w:rFonts w:ascii="Perpetua Titling MT;苹方-简" w:hAnsi="Perpetua Titling MT;苹方-简" w:cs="Perpetua Titling MT;苹方-简" w:eastAsia="Perpetua Titling MT;苹方-简"/>
        </w:rPr>
        <w:t>、申述人直接将该表交人力资源部。</w:t>
      </w:r>
    </w:p>
    <w:p>
      <w:pPr>
        <w:pStyle w:val="Normal"/>
        <w:spacing w:lineRule="auto" w:line="398"/>
        <w:rPr/>
      </w:pPr>
      <w:r>
        <w:rPr>
          <w:rFonts w:eastAsia="Perpetua Titling MT;苹方-简" w:cs="Perpetua Titling MT;苹方-简" w:ascii="Perpetua Titling MT;苹方-简" w:hAnsi="Perpetua Titling MT;苹方-简"/>
        </w:rPr>
        <w:t>3</w:t>
      </w:r>
      <w:r>
        <w:rPr>
          <w:rFonts w:ascii="Perpetua Titling MT;苹方-简" w:hAnsi="Perpetua Titling MT;苹方-简" w:cs="Perpetua Titling MT;苹方-简" w:eastAsia="Perpetua Titling MT;苹方-简"/>
        </w:rPr>
        <w:t>、人力资源部须在接到申述的</w:t>
      </w:r>
      <w:r>
        <w:rPr>
          <w:rFonts w:eastAsia="Perpetua Titling MT;苹方-简" w:cs="Perpetua Titling MT;苹方-简" w:ascii="Perpetua Titling MT;苹方-简" w:hAnsi="Perpetua Titling MT;苹方-简"/>
        </w:rPr>
        <w:t>5</w:t>
      </w:r>
      <w:r>
        <w:rPr>
          <w:rFonts w:ascii="Perpetua Titling MT;苹方-简" w:hAnsi="Perpetua Titling MT;苹方-简" w:cs="Perpetua Titling MT;苹方-简" w:eastAsia="Perpetua Titling MT;苹方-简"/>
        </w:rPr>
        <w:t>个工作日内提出处理意见和处理结果。</w:t>
      </w:r>
    </w:p>
    <w:p>
      <w:pPr>
        <w:pStyle w:val="Normal"/>
        <w:spacing w:lineRule="auto" w:line="398"/>
        <w:rPr/>
      </w:pPr>
      <w:r>
        <w:rPr>
          <w:rFonts w:eastAsia="Perpetua Titling MT;苹方-简" w:cs="Perpetua Titling MT;苹方-简" w:ascii="Perpetua Titling MT;苹方-简" w:hAnsi="Perpetua Titling MT;苹方-简"/>
        </w:rPr>
        <w:t>4</w:t>
      </w:r>
      <w:r>
        <w:rPr>
          <w:rFonts w:ascii="Perpetua Titling MT;苹方-简" w:hAnsi="Perpetua Titling MT;苹方-简" w:cs="Perpetua Titling MT;苹方-简" w:eastAsia="Perpetua Titling MT;苹方-简"/>
        </w:rPr>
        <w:t>、本表一式三份，一份人力资源部存档，一份交申述人主管，一份交申述人。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98"/>
        <w:jc w:val="center"/>
        <w:rPr>
          <w:rFonts w:eastAsia="黑体;汉仪中黑KW"/>
          <w:b/>
          <w:b/>
          <w:sz w:val="30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30"/>
        </w:rPr>
        <w:t>考绩总表</w:t>
      </w:r>
    </w:p>
    <w:p>
      <w:pPr>
        <w:pStyle w:val="Normal"/>
        <w:spacing w:lineRule="auto" w:line="398"/>
        <w:jc w:val="center"/>
        <w:rPr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30"/>
        </w:rPr>
        <w:t xml:space="preserve">                               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时间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________</w:t>
      </w:r>
    </w:p>
    <w:p>
      <w:pPr>
        <w:pStyle w:val="Normal"/>
        <w:spacing w:lineRule="auto" w:line="398"/>
        <w:rPr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           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           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部门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________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                                    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       </w:t>
      </w:r>
    </w:p>
    <w:tbl>
      <w:tblPr>
        <w:tblW w:w="8410" w:type="dxa"/>
        <w:jc w:val="start"/>
        <w:tblInd w:w="1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5"/>
        <w:gridCol w:w="1765"/>
        <w:gridCol w:w="340"/>
        <w:gridCol w:w="340"/>
        <w:gridCol w:w="340"/>
        <w:gridCol w:w="380"/>
        <w:gridCol w:w="680"/>
        <w:gridCol w:w="332"/>
        <w:gridCol w:w="8"/>
        <w:gridCol w:w="384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>
        <w:trPr>
          <w:trHeight w:val="820" w:hRule="atLeast"/>
          <w:cantSplit w:val="true"/>
        </w:trPr>
        <w:tc>
          <w:tcPr>
            <w:tcW w:w="247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0" allowOverlap="1" relativeHeight="11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635</wp:posOffset>
                      </wp:positionV>
                      <wp:extent cx="410210" cy="1054100"/>
                      <wp:effectExtent l="0" t="0" r="0" b="0"/>
                      <wp:wrapNone/>
                      <wp:docPr id="10" name="直线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80" cy="1053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.25pt,0pt" to="37.45pt,82.9pt" ID="直线 12" stroked="t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0" allowOverlap="1" relativeHeight="12">
                      <wp:simplePos x="0" y="0"/>
                      <wp:positionH relativeFrom="margi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800735" cy="1000760"/>
                      <wp:effectExtent l="0" t="0" r="0" b="0"/>
                      <wp:wrapNone/>
                      <wp:docPr id="11" name="直线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0000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75pt,0pt" to="120.7pt,78.7pt" ID="直线 10" stroked="t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0" allowOverlap="1" relativeHeight="1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550035" cy="1040765"/>
                      <wp:effectExtent l="0" t="0" r="0" b="0"/>
                      <wp:wrapNone/>
                      <wp:docPr id="12" name="直线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40" cy="10400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121.95pt,81.85pt" ID="直线 11" stroked="t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Perpetua Titling MT;苹方-简" w:cs="Perpetua Titling MT;苹方-简" w:ascii="Perpetua Titling MT;苹方-简" w:hAnsi="Perpetua Titling MT;苹方-简"/>
                <w:sz w:val="24"/>
              </w:rPr>
              <w:t xml:space="preserve">     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记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考核</w:t>
            </w:r>
          </w:p>
          <w:p>
            <w:pPr>
              <w:pStyle w:val="Normal"/>
              <w:spacing w:lineRule="auto" w:line="398"/>
              <w:rPr>
                <w:sz w:val="24"/>
              </w:rPr>
            </w:pPr>
            <w:r>
              <w:rPr>
                <w:rFonts w:eastAsia="Perpetua Titling MT;苹方-简" w:cs="Perpetua Titling MT;苹方-简" w:ascii="Perpetua Titling MT;苹方-简" w:hAnsi="Perpetua Titling MT;苹方-简"/>
                <w:sz w:val="24"/>
              </w:rPr>
              <w:t xml:space="preserve">         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录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编号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姓名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           </w:t>
            </w:r>
          </w:p>
        </w:tc>
        <w:tc>
          <w:tcPr>
            <w:tcW w:w="1020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到职</w:t>
            </w:r>
          </w:p>
        </w:tc>
        <w:tc>
          <w:tcPr>
            <w:tcW w:w="38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终止年资</w:t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现</w:t>
            </w:r>
          </w:p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支</w:t>
            </w:r>
          </w:p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薪</w:t>
            </w:r>
          </w:p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额</w:t>
            </w:r>
          </w:p>
        </w:tc>
        <w:tc>
          <w:tcPr>
            <w:tcW w:w="2292" w:type="dxa"/>
            <w:gridSpan w:val="7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假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勤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记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 xml:space="preserve">  </w:t>
            </w: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录</w:t>
            </w:r>
          </w:p>
        </w:tc>
        <w:tc>
          <w:tcPr>
            <w:tcW w:w="39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功过记录</w:t>
            </w:r>
          </w:p>
        </w:tc>
        <w:tc>
          <w:tcPr>
            <w:tcW w:w="39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年中考核</w:t>
            </w:r>
          </w:p>
        </w:tc>
        <w:tc>
          <w:tcPr>
            <w:tcW w:w="39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年底考绩</w:t>
            </w:r>
          </w:p>
        </w:tc>
        <w:tc>
          <w:tcPr>
            <w:tcW w:w="39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center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年度平均</w:t>
            </w:r>
          </w:p>
        </w:tc>
      </w:tr>
      <w:tr>
        <w:trPr>
          <w:trHeight w:val="841" w:hRule="atLeast"/>
          <w:cantSplit w:val="true"/>
        </w:trPr>
        <w:tc>
          <w:tcPr>
            <w:tcW w:w="247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年</w:t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月</w:t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日</w:t>
            </w:r>
          </w:p>
        </w:tc>
        <w:tc>
          <w:tcPr>
            <w:tcW w:w="38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迟到</w:t>
            </w:r>
          </w:p>
        </w:tc>
        <w:tc>
          <w:tcPr>
            <w:tcW w:w="3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早退</w:t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事假</w:t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病假</w:t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旷职</w:t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98"/>
              <w:jc w:val="end"/>
              <w:rPr>
                <w:sz w:val="24"/>
              </w:rPr>
            </w:pPr>
            <w:r>
              <w:rPr>
                <w:rFonts w:ascii="Perpetua Titling MT;苹方-简" w:hAnsi="Perpetua Titling MT;苹方-简" w:cs="Perpetua Titling MT;苹方-简" w:eastAsia="Perpetua Titling MT;苹方-简"/>
                <w:sz w:val="24"/>
              </w:rPr>
              <w:t>其他</w:t>
            </w:r>
          </w:p>
        </w:tc>
        <w:tc>
          <w:tcPr>
            <w:tcW w:w="39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FF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808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FF00FF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8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FF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FF00FF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exact"/>
          <w:cantSplit w:val="true"/>
        </w:trPr>
        <w:tc>
          <w:tcPr>
            <w:tcW w:w="70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98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lineRule="auto" w:line="398"/>
        <w:rPr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核定：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 xml:space="preserve">                               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复核：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spacing w:lineRule="auto" w:line="398"/>
        <w:jc w:val="center"/>
        <w:rPr>
          <w:rFonts w:eastAsia="楷体_GB2312;汉仪楷体简"/>
        </w:rPr>
      </w:pPr>
      <w:r>
        <w:rPr>
          <w:rFonts w:ascii="Perpetua Titling MT;苹方-简" w:hAnsi="Perpetua Titling MT;苹方-简" w:cs="Perpetua Titling MT;苹方-简" w:eastAsia="Perpetua Titling MT;苹方-简"/>
        </w:rPr>
        <w:t>绩效考评制度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绩效考评（以下简称“考评”）是指用系统的方法、原理，评定、测量员工在职务上的工作行为和工作效果。</w:t>
      </w:r>
    </w:p>
    <w:p>
      <w:pPr>
        <w:pStyle w:val="Normal"/>
        <w:snapToGrid w:val="false"/>
        <w:spacing w:lineRule="exact" w:line="240"/>
        <w:rPr>
          <w:rFonts w:eastAsia="楷体_GB2312;汉仪楷体简"/>
          <w:sz w:val="24"/>
        </w:rPr>
      </w:pPr>
      <w:r>
        <w:rPr>
          <w:rFonts w:eastAsia="楷体_GB2312;汉仪楷体简"/>
          <w:sz w:val="24"/>
        </w:rPr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一、考评的目的和用途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、考评的最终目的是改善员工的工作表现，以达到企业的经营目标，并提高员工的满意程度和未来的成就感。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、考评的结果主要用于工作反馈、报酬管理、职务调整和工作改进。</w:t>
      </w:r>
    </w:p>
    <w:p>
      <w:pPr>
        <w:pStyle w:val="Normal"/>
        <w:snapToGrid w:val="false"/>
        <w:spacing w:lineRule="exact" w:line="240"/>
        <w:rPr>
          <w:rFonts w:eastAsia="楷体_GB2312;汉仪楷体简"/>
          <w:sz w:val="24"/>
        </w:rPr>
      </w:pPr>
      <w:r>
        <w:rPr>
          <w:rFonts w:eastAsia="楷体_GB2312;汉仪楷体简"/>
          <w:sz w:val="24"/>
        </w:rPr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二、考评的原则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b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、一致性：在一段连续时间之内，考评的内容和标准不能有大的变化，至少应保持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年之内考评的方法具有一致性；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、客观性：考评要客观的反映员工的实际情况，避免由于光环效应、新近性、偏见等带来的误差；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 xml:space="preserve">    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、公平性：对于同一岗位的员工使用相同的考评标准；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4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、公开性：员工要知道自己的详细考评结果。</w:t>
      </w:r>
    </w:p>
    <w:p>
      <w:pPr>
        <w:pStyle w:val="Normal"/>
        <w:snapToGrid w:val="false"/>
        <w:rPr>
          <w:rFonts w:eastAsia="楷体_GB2312;汉仪楷体简"/>
          <w:sz w:val="24"/>
        </w:rPr>
      </w:pPr>
      <w:r>
        <w:rPr>
          <w:rFonts w:eastAsia="楷体_GB2312;汉仪楷体简"/>
          <w:sz w:val="24"/>
        </w:rPr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sz w:val="24"/>
        </w:rPr>
        <w:t>三、</w:t>
      </w: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考评的内容和分值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、考核的内容分以下三部分：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（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）、重要任务：本季度内完成的重要工作，考评的工作不超过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个，由任务布置者进行考评；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（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）、岗位工作：岗位职责中描述的工作内容，由直接上级进行考评；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（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）、工作态度：指本职工作内的协作精神、积极态度等。由部门内部同事或被服务者进行考评。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、分值计算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原则上，总分满分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180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分，重要任务满分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90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分，岗位工作、工作态度分别为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45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分。对于没有“重要任务”项的岗位，原则上其他两项的分数乘以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200%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为总分。</w:t>
      </w:r>
    </w:p>
    <w:p>
      <w:pPr>
        <w:pStyle w:val="Normal"/>
        <w:snapToGrid w:val="false"/>
        <w:rPr>
          <w:sz w:val="24"/>
        </w:rPr>
      </w:pPr>
      <w:r>
        <w:rPr>
          <w:rFonts w:eastAsia="Times New Roman"/>
          <w:sz w:val="24"/>
        </w:rPr>
        <w:t xml:space="preserve">        </w:t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四、考评的一般程序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、员工的直接上级为该员工的考评负责人，具体执行考评程序；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、员工对“岗位工作”和“工作态度”部分进行自评，自评不计入总分；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、直接上级一般为该员工的考评负责人；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4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、考评结束时，考评负责人必须与该员工单独进行考评沟通；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5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、具体考评步骤在各岗位的考评实施细则中具体规定。</w:t>
      </w:r>
    </w:p>
    <w:p>
      <w:pPr>
        <w:pStyle w:val="Normal"/>
        <w:snapToGrid w:val="false"/>
        <w:rPr>
          <w:rFonts w:eastAsia="楷体_GB2312;汉仪楷体简"/>
          <w:sz w:val="24"/>
        </w:rPr>
      </w:pPr>
      <w:r>
        <w:rPr>
          <w:rFonts w:eastAsia="楷体_GB2312;汉仪楷体简"/>
          <w:sz w:val="24"/>
        </w:rPr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五、保密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b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、考评结果只对考评负责人、被考评人、人事负责人、（副）总经理公开；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、考评结果及考评文件交由人力资源部存档；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、任何人不得将考评结果告诉无关人员。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 xml:space="preserve">   </w:t>
      </w:r>
    </w:p>
    <w:p>
      <w:pPr>
        <w:pStyle w:val="Normal"/>
        <w:snapToGrid w:val="false"/>
        <w:spacing w:lineRule="exact" w:line="240"/>
        <w:rPr>
          <w:rFonts w:eastAsia="楷体_GB2312;汉仪楷体简"/>
          <w:sz w:val="24"/>
        </w:rPr>
      </w:pPr>
      <w:r>
        <w:rPr>
          <w:rFonts w:eastAsia="Times New Roman"/>
          <w:sz w:val="24"/>
        </w:rPr>
        <w:t xml:space="preserve">    </w:t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>六、其他事项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b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、公司的绩效考评工作由人力资源部统一负责；</w:t>
      </w:r>
    </w:p>
    <w:p>
      <w:pPr>
        <w:pStyle w:val="Normal"/>
        <w:snapToGrid w:val="false"/>
        <w:spacing w:lineRule="auto" w:line="398"/>
        <w:rPr>
          <w:rFonts w:eastAsia="楷体_GB2312;汉仪楷体简"/>
          <w:b/>
          <w:b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b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、考评每季度进行一次，原则上在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月、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6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月、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9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月、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12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月下旬进行；</w:t>
      </w:r>
      <w:r>
        <w:rPr>
          <w:rFonts w:ascii="Perpetua Titling MT;苹方-简" w:hAnsi="Perpetua Titling MT;苹方-简" w:cs="Perpetua Titling MT;苹方-简" w:eastAsia="Perpetua Titling MT;苹方-简"/>
          <w:b/>
          <w:sz w:val="24"/>
        </w:rPr>
        <w:t xml:space="preserve">    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3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、考评负责人在第一次开展考评工作前要参加考评培训（由人力资源部组织）；</w:t>
      </w:r>
    </w:p>
    <w:p>
      <w:pPr>
        <w:pStyle w:val="Normal"/>
        <w:snapToGrid w:val="false"/>
        <w:spacing w:lineRule="auto" w:line="398"/>
        <w:rPr>
          <w:rFonts w:eastAsia="楷体_GB2312;汉仪楷体简"/>
          <w:sz w:val="24"/>
        </w:rPr>
      </w:pPr>
      <w:r>
        <w:rPr>
          <w:rFonts w:eastAsia="Perpetua Titling MT;苹方-简" w:cs="Perpetua Titling MT;苹方-简" w:ascii="Perpetua Titling MT;苹方-简" w:hAnsi="Perpetua Titling MT;苹方-简"/>
          <w:sz w:val="24"/>
        </w:rPr>
        <w:t xml:space="preserve">    </w:t>
      </w:r>
      <w:r>
        <w:rPr>
          <w:rFonts w:eastAsia="Perpetua Titling MT;苹方-简" w:cs="Perpetua Titling MT;苹方-简" w:ascii="Perpetua Titling MT;苹方-简" w:hAnsi="Perpetua Titling MT;苹方-简"/>
          <w:sz w:val="24"/>
        </w:rPr>
        <w:t>4</w:t>
      </w:r>
      <w:r>
        <w:rPr>
          <w:rFonts w:ascii="Perpetua Titling MT;苹方-简" w:hAnsi="Perpetua Titling MT;苹方-简" w:cs="Perpetua Titling MT;苹方-简" w:eastAsia="Perpetua Titling MT;苹方-简"/>
          <w:sz w:val="24"/>
        </w:rPr>
        <w:t>、各岗位的考评实施细则在本制度基础上由人力资源部、考评负责人及被考评人共同制定。</w:t>
      </w:r>
    </w:p>
    <w:p>
      <w:pPr>
        <w:pStyle w:val="Normal"/>
        <w:snapToGrid w:val="false"/>
        <w:spacing w:lineRule="exact" w:line="240"/>
        <w:rPr>
          <w:rFonts w:eastAsia="楷体_GB2312;汉仪楷体简"/>
          <w:b/>
          <w:b/>
          <w:sz w:val="24"/>
        </w:rPr>
      </w:pPr>
      <w:r>
        <w:rPr>
          <w:rFonts w:eastAsia="楷体_GB2312;汉仪楷体简"/>
          <w:b/>
          <w:sz w:val="24"/>
        </w:rPr>
      </w:r>
    </w:p>
    <w:p>
      <w:pPr>
        <w:pStyle w:val="Normal"/>
        <w:tabs>
          <w:tab w:val="clear" w:pos="420"/>
          <w:tab w:val="left" w:pos="7560" w:leader="none"/>
        </w:tabs>
        <w:snapToGrid w:val="false"/>
        <w:spacing w:lineRule="exact" w:line="400"/>
        <w:rPr>
          <w:rFonts w:eastAsia="楷体_GB2312;汉仪楷体简"/>
          <w:b/>
          <w:b/>
          <w:bCs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bCs/>
          <w:sz w:val="24"/>
        </w:rPr>
        <w:t>七、本制度自颁布之日起实行。</w:t>
      </w:r>
    </w:p>
    <w:p>
      <w:pPr>
        <w:pStyle w:val="Normal"/>
        <w:tabs>
          <w:tab w:val="clear" w:pos="420"/>
          <w:tab w:val="left" w:pos="7560" w:leader="none"/>
        </w:tabs>
        <w:snapToGrid w:val="false"/>
        <w:spacing w:lineRule="exact" w:line="400"/>
        <w:rPr>
          <w:b/>
          <w:b/>
          <w:bCs/>
          <w:sz w:val="24"/>
        </w:rPr>
      </w:pPr>
      <w:r>
        <w:rPr>
          <w:rFonts w:ascii="Perpetua Titling MT;苹方-简" w:hAnsi="Perpetua Titling MT;苹方-简" w:cs="Perpetua Titling MT;苹方-简" w:eastAsia="Perpetua Titling MT;苹方-简"/>
          <w:b/>
          <w:bCs/>
          <w:sz w:val="24"/>
        </w:rPr>
        <w:t>八、本制度由人力资源部负责解释。</w:t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等线;汉仪中等线KW" w:hAnsi="等线;汉仪中等线KW" w:eastAsia="等线;汉仪中等线KW" w:cs="Times New Roman"/>
          <w:szCs w:val="22"/>
        </w:rPr>
      </w:pPr>
      <w:r>
        <w:rPr>
          <w:rFonts w:eastAsia="等线;汉仪中等线KW" w:cs="等线;汉仪中等线KW" w:ascii="等线;汉仪中等线KW" w:hAnsi="等线;汉仪中等线KW"/>
          <w:szCs w:val="22"/>
        </w:rPr>
        <w:t xml:space="preserve">                                     </w:t>
      </w:r>
    </w:p>
    <w:p>
      <w:pPr>
        <w:pStyle w:val="Normal"/>
        <w:rPr>
          <w:rFonts w:ascii="等线;汉仪中等线KW" w:hAnsi="等线;汉仪中等线KW" w:eastAsia="等线;汉仪中等线KW" w:cs="Times New Roman"/>
          <w:szCs w:val="22"/>
        </w:rPr>
      </w:pPr>
      <w:r>
        <w:rPr>
          <w:rFonts w:eastAsia="等线;汉仪中等线KW" w:cs="等线;汉仪中等线KW" w:ascii="等线;汉仪中等线KW" w:hAnsi="等线;汉仪中等线KW"/>
          <w:szCs w:val="22"/>
        </w:rPr>
        <w:t xml:space="preserve">                         </w:t>
      </w:r>
    </w:p>
    <w:p>
      <w:pPr>
        <w:pStyle w:val="Normal"/>
        <w:rPr>
          <w:rFonts w:ascii="等线;汉仪中等线KW" w:hAnsi="等线;汉仪中等线KW" w:eastAsia="等线;汉仪中等线KW" w:cs="Times New Roman"/>
          <w:szCs w:val="22"/>
        </w:rPr>
      </w:pPr>
      <w:r>
        <w:rPr>
          <w:rFonts w:eastAsia="等线;汉仪中等线KW" w:cs="等线;汉仪中等线KW" w:ascii="等线;汉仪中等线KW" w:hAnsi="等线;汉仪中等线KW"/>
          <w:szCs w:val="22"/>
        </w:rPr>
        <w:t xml:space="preserve">                </w:t>
      </w:r>
    </w:p>
    <w:p>
      <w:pPr>
        <w:pStyle w:val="Normal"/>
        <w:rPr>
          <w:rFonts w:ascii="等线;汉仪中等线KW" w:hAnsi="等线;汉仪中等线KW" w:eastAsia="等线;汉仪中等线KW" w:cs="Times New Roman"/>
          <w:szCs w:val="22"/>
        </w:rPr>
      </w:pPr>
      <w:r>
        <w:rPr>
          <w:rFonts w:eastAsia="等线;汉仪中等线KW" w:cs="Times New Roman" w:ascii="等线;汉仪中等线KW" w:hAnsi="等线;汉仪中等线KW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宋体">
    <w:altName w:val="汉仪书宋二KW"/>
    <w:charset w:val="86"/>
    <w:family w:val="auto"/>
    <w:pitch w:val="default"/>
  </w:font>
  <w:font w:name="Perpetua Titling MT">
    <w:altName w:val="苹方-简"/>
    <w:charset w:val="00" w:characterSet="windows-125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等线">
    <w:altName w:val="汉仪中等线KW"/>
    <w:charset w:val="00" w:characterSet="windows-1252"/>
    <w:family w:val="auto"/>
    <w:pitch w:val="default"/>
  </w:font>
  <w:font w:name="黑体">
    <w:altName w:val="汉仪中黑KW"/>
    <w:charset w:val="00" w:characterSet="windows-1252"/>
    <w:family w:val="auto"/>
    <w:pitch w:val="default"/>
  </w:font>
  <w:font w:name="楷体_GB2312">
    <w:altName w:val="汉仪楷体简"/>
    <w:charset w:val="00" w:characterSet="windows-1252"/>
    <w:family w:val="modern"/>
    <w:pitch w:val="default"/>
  </w:font>
  <w:font w:name="Lucida Handwriting">
    <w:altName w:val="苹方-简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98"/>
      <w:jc w:val="center"/>
      <w:rPr>
        <w:rFonts w:ascii="Lucida Handwriting;苹方-简" w:hAnsi="Lucida Handwriting;苹方-简" w:eastAsia="Lucida Handwriting;苹方-简" w:cs="Lucida Handwriting;苹方-简"/>
        <w:b w:val="false"/>
        <w:b w:val="false"/>
        <w:i/>
        <w:i/>
        <w:strike w:val="false"/>
        <w:dstrike w:val="false"/>
        <w:color w:val="00FFFF"/>
        <w:sz w:val="12"/>
        <w:u w:val="none"/>
      </w:rPr>
    </w:pPr>
    <w:r>
      <w:rPr>
        <w:rFonts w:eastAsia="Lucida Handwriting;苹方-简" w:cs="Lucida Handwriting;苹方-简" w:ascii="Lucida Handwriting;苹方-简" w:hAnsi="Lucida Handwriting;苹方-简"/>
        <w:b w:val="false"/>
        <w:i/>
        <w:strike w:val="false"/>
        <w:dstrike w:val="false"/>
        <w:color w:val="00FFFF"/>
        <w:sz w:val="12"/>
        <w:u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2" w:space="0" w:color="000000"/>
      </w:pBdr>
      <w:spacing w:lineRule="auto" w:line="398"/>
      <w:jc w:val="center"/>
      <w:rPr>
        <w:rFonts w:ascii="Lucida Handwriting;苹方-简" w:hAnsi="Lucida Handwriting;苹方-简" w:eastAsia="Lucida Handwriting;苹方-简" w:cs="Lucida Handwriting;苹方-简"/>
        <w:b w:val="false"/>
        <w:b w:val="false"/>
        <w:i/>
        <w:i/>
        <w:strike w:val="false"/>
        <w:dstrike w:val="false"/>
        <w:color w:val="00FFFF"/>
        <w:sz w:val="12"/>
        <w:u w:val="none"/>
      </w:rPr>
    </w:pPr>
    <w:r>
      <w:rPr>
        <w:rFonts w:eastAsia="Lucida Handwriting;苹方-简" w:cs="Lucida Handwriting;苹方-简" w:ascii="Lucida Handwriting;苹方-简" w:hAnsi="Lucida Handwriting;苹方-简"/>
        <w:b w:val="false"/>
        <w:i/>
        <w:strike w:val="false"/>
        <w:dstrike w:val="false"/>
        <w:color w:val="00FFFF"/>
        <w:sz w:val="12"/>
        <w:u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>
        <w:rFonts w:ascii="Perpetua Titling MT;苹方-简" w:hAnsi="Perpetua Titling MT;苹方-简" w:eastAsia="Perpetua Titling MT;苹方-简" w:cs="Perpetua Titling MT;苹方-简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>
        <w:rFonts w:ascii="Perpetua Titling MT;苹方-简" w:hAnsi="Perpetua Titling MT;苹方-简" w:eastAsia="Perpetua Titling MT;苹方-简" w:cs="Perpetua Titling MT;苹方-简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8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paragraph" w:styleId="Heading4">
    <w:name w:val="Heading 4"/>
    <w:basedOn w:val="Normal"/>
    <w:next w:val="TextBody"/>
    <w:qFormat/>
    <w:pPr>
      <w:widowControl/>
      <w:numPr>
        <w:ilvl w:val="3"/>
        <w:numId w:val="1"/>
      </w:numPr>
      <w:spacing w:before="280" w:after="280"/>
      <w:jc w:val="start"/>
      <w:outlineLvl w:val="3"/>
    </w:pPr>
    <w:rPr>
      <w:rFonts w:ascii="宋体;汉仪书宋二KW" w:hAnsi="宋体;汉仪书宋二KW" w:cs="宋体;汉仪书宋二KW"/>
      <w:b/>
      <w:bCs/>
      <w:kern w:val="0"/>
      <w:sz w:val="24"/>
    </w:rPr>
  </w:style>
  <w:style w:type="character" w:styleId="WW8Num1z0">
    <w:name w:val="WW8Num1z0"/>
    <w:qFormat/>
    <w:rPr>
      <w:rFonts w:ascii="Perpetua Titling MT;苹方-简" w:hAnsi="Perpetua Titling MT;苹方-简" w:eastAsia="Perpetua Titling MT;苹方-简" w:cs="Perpetua Titling MT;苹方-简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Perpetua Titling MT;苹方-简" w:hAnsi="Perpetua Titling MT;苹方-简" w:eastAsia="Perpetua Titling MT;苹方-简" w:cs="Perpetua Titling MT;苹方-简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3">
    <w:name w:val="普通(网站)"/>
    <w:basedOn w:val="Normal"/>
    <w:qFormat/>
    <w:pPr>
      <w:widowControl/>
      <w:spacing w:before="280" w:after="280"/>
      <w:jc w:val="start"/>
    </w:pPr>
    <w:rPr>
      <w:rFonts w:ascii="宋体;汉仪书宋二KW" w:hAnsi="宋体;汉仪书宋二KW" w:cs="宋体;汉仪书宋二KW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0绩效改进与绩效评价表.dot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2003-03-20T11:24:00Z</dcterms:created>
  <dc:creator>中国人力资源开发研究会会员部</dc:creator>
  <dc:description/>
  <dc:language>en-US</dc:language>
  <cp:lastModifiedBy>zingling</cp:lastModifiedBy>
  <dcterms:modified xsi:type="dcterms:W3CDTF">2022-06-14T22:02:04Z</dcterms:modified>
  <cp:revision>4</cp:revision>
  <dc:subject/>
  <dc:title>绩效改进与绩效评价表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