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仿宋_GB2312;仿宋" w:hAnsi="仿宋_GB2312;仿宋" w:eastAsia="仿宋_GB2312;仿宋"/>
          <w:b/>
          <w:b/>
          <w:sz w:val="44"/>
          <w:szCs w:val="44"/>
        </w:rPr>
      </w:pPr>
      <w:r>
        <w:rPr>
          <w:rFonts w:ascii="宋体" w:hAnsi="宋体" w:cs="宋体"/>
          <w:b/>
          <w:sz w:val="44"/>
          <w:szCs w:val="44"/>
          <w:lang w:val="en-US" w:eastAsia="zh-CN"/>
        </w:rPr>
        <w:t>传媒</w:t>
      </w:r>
      <w:r>
        <w:rPr>
          <w:rFonts w:ascii="宋体" w:hAnsi="宋体" w:cs="宋体"/>
          <w:b/>
          <w:sz w:val="44"/>
          <w:szCs w:val="44"/>
        </w:rPr>
        <w:t>公司年绩效考核办法</w:t>
      </w:r>
    </w:p>
    <w:p>
      <w:pPr>
        <w:pStyle w:val="Normal"/>
        <w:rPr>
          <w:rFonts w:ascii="仿宋_GB2312;仿宋" w:hAnsi="仿宋_GB2312;仿宋" w:eastAsia="仿宋_GB2312;仿宋"/>
          <w:b/>
          <w:b/>
          <w:sz w:val="32"/>
          <w:szCs w:val="32"/>
        </w:rPr>
      </w:pPr>
      <w:r>
        <w:rPr>
          <w:rFonts w:eastAsia="仿宋_GB2312;仿宋" w:ascii="仿宋_GB2312;仿宋" w:hAnsi="仿宋_GB2312;仿宋"/>
          <w:b/>
          <w:sz w:val="32"/>
          <w:szCs w:val="32"/>
        </w:rPr>
      </w:r>
    </w:p>
    <w:p>
      <w:pPr>
        <w:pStyle w:val="Normal"/>
        <w:numPr>
          <w:ilvl w:val="0"/>
          <w:numId w:val="2"/>
        </w:numPr>
        <w:jc w:val="center"/>
        <w:rPr>
          <w:rFonts w:ascii="仿宋_GB2312;仿宋" w:hAnsi="仿宋_GB2312;仿宋" w:eastAsia="仿宋_GB2312;仿宋"/>
          <w:b/>
          <w:b/>
          <w:sz w:val="32"/>
          <w:szCs w:val="32"/>
        </w:rPr>
      </w:pPr>
      <w:r>
        <w:rPr>
          <w:rFonts w:ascii="仿宋_GB2312;仿宋" w:hAnsi="仿宋_GB2312;仿宋" w:eastAsia="仿宋_GB2312;仿宋"/>
          <w:b/>
          <w:sz w:val="32"/>
          <w:szCs w:val="32"/>
        </w:rPr>
        <w:t>总  则</w:t>
      </w:r>
    </w:p>
    <w:p>
      <w:pPr>
        <w:pStyle w:val="Normal"/>
        <w:ind w:firstLine="630"/>
        <w:jc w:val="start"/>
        <w:rPr>
          <w:rFonts w:ascii="仿宋_GB2312;仿宋" w:hAnsi="仿宋_GB2312;仿宋" w:eastAsia="仿宋_GB2312;仿宋"/>
          <w:b/>
          <w:b/>
          <w:sz w:val="32"/>
          <w:szCs w:val="32"/>
        </w:rPr>
      </w:pPr>
      <w:r>
        <w:rPr>
          <w:rFonts w:ascii="仿宋_GB2312;仿宋" w:hAnsi="仿宋_GB2312;仿宋" w:eastAsia="仿宋_GB2312;仿宋"/>
          <w:b/>
          <w:sz w:val="32"/>
          <w:szCs w:val="32"/>
        </w:rPr>
        <w:t xml:space="preserve">第一条  </w:t>
      </w:r>
      <w:r>
        <w:rPr>
          <w:rFonts w:ascii="仿宋_GB2312;仿宋" w:hAnsi="仿宋_GB2312;仿宋" w:eastAsia="仿宋_GB2312;仿宋"/>
          <w:sz w:val="32"/>
          <w:szCs w:val="32"/>
        </w:rPr>
        <w:t>为促进网络通信质量、建设效率、业务响应速度和合理使用成本，按照“专业化管理和一体化运营”的要求，更好地保障和支撑公司的业务发展，特制定本考核办法。</w:t>
      </w:r>
    </w:p>
    <w:p>
      <w:pPr>
        <w:pStyle w:val="Normal"/>
        <w:ind w:firstLine="630"/>
        <w:rPr>
          <w:rFonts w:ascii="仿宋_GB2312;仿宋" w:hAnsi="仿宋_GB2312;仿宋" w:eastAsia="仿宋_GB2312;仿宋"/>
          <w:sz w:val="32"/>
          <w:szCs w:val="32"/>
        </w:rPr>
      </w:pPr>
      <w:r>
        <w:rPr>
          <w:rFonts w:ascii="仿宋_GB2312;仿宋" w:hAnsi="仿宋_GB2312;仿宋" w:eastAsia="仿宋_GB2312;仿宋"/>
          <w:b/>
          <w:sz w:val="32"/>
          <w:szCs w:val="32"/>
        </w:rPr>
        <w:t xml:space="preserve">第二条  </w:t>
      </w:r>
      <w:r>
        <w:rPr>
          <w:rFonts w:ascii="仿宋_GB2312;仿宋" w:hAnsi="仿宋_GB2312;仿宋" w:eastAsia="仿宋_GB2312;仿宋"/>
          <w:sz w:val="32"/>
          <w:szCs w:val="32"/>
        </w:rPr>
        <w:t>本考核办法适用于网络公司西藏分公司及网络公司各地市分公司。</w:t>
      </w:r>
    </w:p>
    <w:p>
      <w:pPr>
        <w:pStyle w:val="Normal"/>
        <w:ind w:firstLine="630"/>
        <w:jc w:val="start"/>
        <w:rPr>
          <w:rFonts w:ascii="仿宋_GB2312;仿宋" w:hAnsi="仿宋_GB2312;仿宋" w:eastAsia="仿宋_GB2312;仿宋"/>
          <w:sz w:val="32"/>
          <w:szCs w:val="32"/>
        </w:rPr>
      </w:pPr>
      <w:r>
        <w:rPr>
          <w:rFonts w:ascii="仿宋_GB2312;仿宋" w:hAnsi="仿宋_GB2312;仿宋" w:eastAsia="仿宋_GB2312;仿宋"/>
          <w:b/>
          <w:sz w:val="32"/>
          <w:szCs w:val="32"/>
        </w:rPr>
        <w:t xml:space="preserve">第三条  </w:t>
      </w:r>
      <w:r>
        <w:rPr>
          <w:rFonts w:ascii="仿宋_GB2312;仿宋" w:hAnsi="仿宋_GB2312;仿宋" w:eastAsia="仿宋_GB2312;仿宋"/>
          <w:sz w:val="32"/>
          <w:szCs w:val="32"/>
        </w:rPr>
        <w:t>考核办法制订原则</w:t>
      </w:r>
    </w:p>
    <w:p>
      <w:pPr>
        <w:pStyle w:val="Normal"/>
        <w:ind w:firstLine="627"/>
        <w:jc w:val="start"/>
        <w:rPr>
          <w:rFonts w:ascii="仿宋_GB2312;仿宋" w:hAnsi="仿宋_GB2312;仿宋" w:eastAsia="仿宋_GB2312;仿宋"/>
          <w:color w:val="FF0000"/>
          <w:sz w:val="32"/>
          <w:szCs w:val="32"/>
        </w:rPr>
      </w:pPr>
      <w:r>
        <w:rPr>
          <w:rFonts w:ascii="仿宋_GB2312;仿宋" w:hAnsi="仿宋_GB2312;仿宋" w:eastAsia="仿宋_GB2312;仿宋"/>
          <w:sz w:val="32"/>
          <w:szCs w:val="32"/>
        </w:rPr>
        <w:t>（一）做好网络公司总部和省网络分公司横向和纵向考核指标落地，同时结合网络公司西藏分公司实际，增加部分考核指标。</w:t>
      </w:r>
    </w:p>
    <w:p>
      <w:pPr>
        <w:pStyle w:val="Normal"/>
        <w:ind w:firstLine="627"/>
        <w:jc w:val="start"/>
        <w:rPr>
          <w:rFonts w:ascii="仿宋_GB2312;仿宋" w:hAnsi="仿宋_GB2312;仿宋" w:eastAsia="仿宋_GB2312;仿宋"/>
          <w:sz w:val="32"/>
          <w:szCs w:val="32"/>
        </w:rPr>
      </w:pPr>
      <w:r>
        <w:rPr>
          <w:rFonts w:ascii="仿宋_GB2312;仿宋" w:hAnsi="仿宋_GB2312;仿宋" w:eastAsia="仿宋_GB2312;仿宋"/>
          <w:sz w:val="32"/>
          <w:szCs w:val="32"/>
        </w:rPr>
        <w:t xml:space="preserve">（二）简化考核办法。围绕公司业务支撑和客户诉求为重点，提高网络分公司执行力，简化考核指标，使考核更加实用和有效。 </w:t>
      </w:r>
    </w:p>
    <w:p>
      <w:pPr>
        <w:pStyle w:val="Normal"/>
        <w:ind w:firstLine="627"/>
        <w:jc w:val="start"/>
        <w:rPr>
          <w:rFonts w:ascii="仿宋_GB2312;仿宋" w:hAnsi="仿宋_GB2312;仿宋" w:eastAsia="仿宋_GB2312;仿宋"/>
          <w:sz w:val="32"/>
          <w:szCs w:val="32"/>
        </w:rPr>
      </w:pPr>
      <w:r>
        <w:rPr>
          <w:rFonts w:ascii="仿宋_GB2312;仿宋" w:hAnsi="仿宋_GB2312;仿宋" w:eastAsia="仿宋_GB2312;仿宋"/>
          <w:sz w:val="32"/>
          <w:szCs w:val="32"/>
        </w:rPr>
        <w:t xml:space="preserve">（三）加大考核力度。拉开考核差距，每月考核和通报，加强分析和点评，有力推进网络分公司工作。 </w:t>
      </w:r>
    </w:p>
    <w:p>
      <w:pPr>
        <w:pStyle w:val="Normal"/>
        <w:jc w:val="start"/>
        <w:rPr>
          <w:rFonts w:ascii="仿宋_GB2312;仿宋" w:hAnsi="仿宋_GB2312;仿宋" w:eastAsia="仿宋_GB2312;仿宋"/>
          <w:sz w:val="32"/>
          <w:szCs w:val="32"/>
        </w:rPr>
      </w:pPr>
      <w:r>
        <w:rPr>
          <w:rFonts w:eastAsia="仿宋_GB2312;仿宋" w:ascii="仿宋_GB2312;仿宋" w:hAnsi="仿宋_GB2312;仿宋"/>
          <w:sz w:val="32"/>
          <w:szCs w:val="32"/>
        </w:rPr>
      </w:r>
    </w:p>
    <w:p>
      <w:pPr>
        <w:pStyle w:val="Normal"/>
        <w:jc w:val="center"/>
        <w:rPr>
          <w:rFonts w:ascii="仿宋_GB2312;仿宋" w:hAnsi="仿宋_GB2312;仿宋" w:eastAsia="仿宋_GB2312;仿宋"/>
          <w:b/>
          <w:b/>
          <w:sz w:val="32"/>
          <w:szCs w:val="32"/>
        </w:rPr>
      </w:pPr>
      <w:r>
        <w:rPr>
          <w:rFonts w:ascii="仿宋_GB2312;仿宋" w:hAnsi="仿宋_GB2312;仿宋" w:eastAsia="仿宋_GB2312;仿宋"/>
          <w:b/>
          <w:sz w:val="32"/>
          <w:szCs w:val="32"/>
        </w:rPr>
        <w:t>第二章  考核组织与管理</w:t>
      </w:r>
    </w:p>
    <w:p>
      <w:pPr>
        <w:pStyle w:val="Normal"/>
        <w:ind w:firstLine="643"/>
        <w:jc w:val="start"/>
        <w:rPr>
          <w:rFonts w:ascii="仿宋_GB2312;仿宋" w:hAnsi="仿宋_GB2312;仿宋" w:eastAsia="仿宋_GB2312;仿宋"/>
          <w:sz w:val="32"/>
          <w:szCs w:val="32"/>
        </w:rPr>
      </w:pPr>
      <w:r>
        <w:rPr>
          <w:rFonts w:ascii="仿宋_GB2312;仿宋" w:hAnsi="仿宋_GB2312;仿宋" w:eastAsia="仿宋_GB2312;仿宋"/>
          <w:b/>
          <w:sz w:val="32"/>
          <w:szCs w:val="32"/>
        </w:rPr>
        <w:t>第四条</w:t>
      </w:r>
      <w:r>
        <w:rPr>
          <w:rFonts w:ascii="仿宋_GB2312;仿宋" w:hAnsi="仿宋_GB2312;仿宋" w:eastAsia="仿宋_GB2312;仿宋"/>
          <w:sz w:val="32"/>
          <w:szCs w:val="32"/>
        </w:rPr>
        <w:t xml:space="preserve">  省网络分公司成立绩效考核办公室，成员由省网络分公司各部门负责人和相关人员组成，在省网络分公司领导以及省公司相关部门指导下开展绩效考核工作。具体工作职责分工如下：</w:t>
      </w:r>
    </w:p>
    <w:p>
      <w:pPr>
        <w:pStyle w:val="Normal"/>
        <w:jc w:val="start"/>
        <w:rPr>
          <w:rFonts w:ascii="仿宋_GB2312;仿宋" w:hAnsi="仿宋_GB2312;仿宋" w:eastAsia="仿宋_GB2312;仿宋"/>
          <w:sz w:val="32"/>
          <w:szCs w:val="32"/>
        </w:rPr>
      </w:pPr>
      <w:r>
        <w:rPr>
          <w:rFonts w:eastAsia="仿宋_GB2312;仿宋" w:cs="仿宋_GB2312;仿宋" w:ascii="仿宋_GB2312;仿宋" w:hAnsi="仿宋_GB2312;仿宋"/>
          <w:sz w:val="32"/>
          <w:szCs w:val="32"/>
        </w:rPr>
        <w:t xml:space="preserve">      </w:t>
      </w:r>
      <w:r>
        <w:rPr>
          <w:rFonts w:ascii="仿宋_GB2312;仿宋" w:hAnsi="仿宋_GB2312;仿宋" w:eastAsia="仿宋_GB2312;仿宋"/>
          <w:sz w:val="32"/>
          <w:szCs w:val="32"/>
        </w:rPr>
        <w:t>（一）省网络分公司各部门各自负责本部门专业考核内容的制定与落实，负责提供各部门专业网络指标考核数据，负责落实相关竞赛指标考核。</w:t>
      </w:r>
    </w:p>
    <w:p>
      <w:pPr>
        <w:pStyle w:val="Normal"/>
        <w:jc w:val="start"/>
        <w:rPr>
          <w:rFonts w:ascii="仿宋_GB2312;仿宋" w:hAnsi="仿宋_GB2312;仿宋" w:eastAsia="仿宋_GB2312;仿宋"/>
          <w:sz w:val="32"/>
          <w:szCs w:val="32"/>
        </w:rPr>
      </w:pPr>
      <w:r>
        <w:rPr>
          <w:rFonts w:eastAsia="仿宋_GB2312;仿宋" w:cs="仿宋_GB2312;仿宋" w:ascii="仿宋_GB2312;仿宋" w:hAnsi="仿宋_GB2312;仿宋"/>
          <w:sz w:val="32"/>
          <w:szCs w:val="32"/>
        </w:rPr>
        <w:t xml:space="preserve">      </w:t>
      </w:r>
      <w:r>
        <w:rPr>
          <w:rFonts w:ascii="仿宋_GB2312;仿宋" w:hAnsi="仿宋_GB2312;仿宋" w:eastAsia="仿宋_GB2312;仿宋"/>
          <w:sz w:val="32"/>
          <w:szCs w:val="32"/>
        </w:rPr>
        <w:t>（二）省网络分公司综合部负责绩效考核的日常工作，与相关部门协调对地市网络分公司的考核结果进行应用。</w:t>
      </w:r>
    </w:p>
    <w:p>
      <w:pPr>
        <w:pStyle w:val="Normal"/>
        <w:jc w:val="start"/>
        <w:rPr>
          <w:rFonts w:ascii="仿宋_GB2312;仿宋" w:hAnsi="仿宋_GB2312;仿宋" w:eastAsia="仿宋_GB2312;仿宋"/>
          <w:b/>
          <w:b/>
          <w:bCs/>
          <w:sz w:val="32"/>
          <w:szCs w:val="32"/>
        </w:rPr>
      </w:pPr>
      <w:r>
        <w:rPr>
          <w:rFonts w:eastAsia="仿宋_GB2312;仿宋" w:ascii="仿宋_GB2312;仿宋" w:hAnsi="仿宋_GB2312;仿宋"/>
          <w:b/>
          <w:bCs/>
          <w:sz w:val="32"/>
          <w:szCs w:val="32"/>
        </w:rPr>
      </w:r>
    </w:p>
    <w:p>
      <w:pPr>
        <w:pStyle w:val="Normal"/>
        <w:jc w:val="center"/>
        <w:rPr>
          <w:rFonts w:ascii="仿宋_GB2312;仿宋" w:hAnsi="仿宋_GB2312;仿宋" w:eastAsia="仿宋_GB2312;仿宋"/>
          <w:sz w:val="32"/>
          <w:szCs w:val="32"/>
        </w:rPr>
      </w:pPr>
      <w:r>
        <w:rPr>
          <w:rFonts w:ascii="仿宋_GB2312;仿宋" w:hAnsi="仿宋_GB2312;仿宋" w:eastAsia="仿宋_GB2312;仿宋"/>
          <w:b/>
          <w:bCs/>
          <w:sz w:val="32"/>
          <w:szCs w:val="32"/>
        </w:rPr>
        <w:t>第三章  考核周期与执行程序</w:t>
      </w:r>
    </w:p>
    <w:p>
      <w:pPr>
        <w:pStyle w:val="Normal"/>
        <w:ind w:firstLine="630"/>
        <w:jc w:val="start"/>
        <w:rPr>
          <w:rFonts w:ascii="仿宋_GB2312;仿宋" w:hAnsi="仿宋_GB2312;仿宋" w:eastAsia="仿宋_GB2312;仿宋"/>
          <w:sz w:val="32"/>
          <w:szCs w:val="32"/>
        </w:rPr>
      </w:pPr>
      <w:r>
        <w:rPr>
          <w:rFonts w:ascii="仿宋_GB2312;仿宋" w:hAnsi="仿宋_GB2312;仿宋" w:eastAsia="仿宋_GB2312;仿宋"/>
          <w:b/>
          <w:bCs/>
          <w:sz w:val="32"/>
          <w:szCs w:val="32"/>
        </w:rPr>
        <w:t xml:space="preserve">第五条  </w:t>
      </w:r>
      <w:r>
        <w:rPr>
          <w:rFonts w:ascii="仿宋_GB2312;仿宋" w:hAnsi="仿宋_GB2312;仿宋" w:eastAsia="仿宋_GB2312;仿宋"/>
          <w:sz w:val="32"/>
          <w:szCs w:val="32"/>
        </w:rPr>
        <w:t>考核周期</w:t>
      </w:r>
    </w:p>
    <w:p>
      <w:pPr>
        <w:pStyle w:val="Normal"/>
        <w:ind w:firstLine="640"/>
        <w:jc w:val="start"/>
        <w:rPr>
          <w:rFonts w:ascii="仿宋_GB2312;仿宋" w:hAnsi="仿宋_GB2312;仿宋" w:eastAsia="仿宋_GB2312;仿宋"/>
          <w:sz w:val="32"/>
          <w:szCs w:val="32"/>
        </w:rPr>
      </w:pPr>
      <w:r>
        <w:rPr>
          <w:rFonts w:ascii="仿宋_GB2312;仿宋" w:hAnsi="仿宋_GB2312;仿宋" w:eastAsia="仿宋_GB2312;仿宋"/>
          <w:sz w:val="32"/>
          <w:szCs w:val="32"/>
        </w:rPr>
        <w:t>绩效考核按周期分为月度考核、年度考核。当月考核结果在次月中旬公布，年度考核结果在下一年度一季度公布。</w:t>
      </w:r>
    </w:p>
    <w:p>
      <w:pPr>
        <w:pStyle w:val="Normal"/>
        <w:ind w:firstLine="630"/>
        <w:jc w:val="start"/>
        <w:rPr>
          <w:rFonts w:ascii="仿宋_GB2312;仿宋" w:hAnsi="仿宋_GB2312;仿宋" w:eastAsia="仿宋_GB2312;仿宋"/>
          <w:sz w:val="32"/>
          <w:szCs w:val="32"/>
        </w:rPr>
      </w:pPr>
      <w:r>
        <w:rPr>
          <w:rFonts w:ascii="仿宋_GB2312;仿宋" w:hAnsi="仿宋_GB2312;仿宋" w:eastAsia="仿宋_GB2312;仿宋"/>
          <w:b/>
          <w:bCs/>
          <w:sz w:val="32"/>
          <w:szCs w:val="32"/>
        </w:rPr>
        <w:t>第六条</w:t>
      </w:r>
      <w:r>
        <w:rPr>
          <w:rFonts w:ascii="仿宋_GB2312;仿宋" w:hAnsi="仿宋_GB2312;仿宋" w:eastAsia="仿宋_GB2312;仿宋"/>
          <w:sz w:val="32"/>
          <w:szCs w:val="32"/>
        </w:rPr>
        <w:t xml:space="preserve">  考核程序</w:t>
      </w:r>
    </w:p>
    <w:p>
      <w:pPr>
        <w:pStyle w:val="Normal"/>
        <w:ind w:firstLine="640"/>
        <w:jc w:val="start"/>
        <w:rPr>
          <w:rFonts w:ascii="仿宋_GB2312;仿宋" w:hAnsi="仿宋_GB2312;仿宋" w:eastAsia="仿宋_GB2312;仿宋"/>
          <w:sz w:val="32"/>
          <w:szCs w:val="32"/>
        </w:rPr>
      </w:pPr>
      <w:r>
        <w:rPr>
          <w:rFonts w:ascii="仿宋_GB2312;仿宋" w:hAnsi="仿宋_GB2312;仿宋" w:eastAsia="仿宋_GB2312;仿宋"/>
          <w:sz w:val="32"/>
          <w:szCs w:val="32"/>
        </w:rPr>
        <w:t>考核期末，省网络分公司各部门对各地市网络分公司考核指标完成情况向省网络分公司综合部提供考核结果；省网络分公司综合部对各地市网络分公司绩效结果进行汇总和通报。</w:t>
      </w:r>
    </w:p>
    <w:p>
      <w:pPr>
        <w:pStyle w:val="Normal"/>
        <w:ind w:firstLine="640"/>
        <w:jc w:val="start"/>
        <w:rPr>
          <w:rFonts w:ascii="仿宋_GB2312;仿宋" w:hAnsi="仿宋_GB2312;仿宋" w:eastAsia="仿宋_GB2312;仿宋"/>
          <w:sz w:val="32"/>
          <w:szCs w:val="32"/>
        </w:rPr>
      </w:pPr>
      <w:r>
        <w:rPr>
          <w:rFonts w:eastAsia="仿宋_GB2312;仿宋" w:ascii="仿宋_GB2312;仿宋" w:hAnsi="仿宋_GB2312;仿宋"/>
          <w:sz w:val="32"/>
          <w:szCs w:val="32"/>
        </w:rPr>
      </w:r>
    </w:p>
    <w:p>
      <w:pPr>
        <w:pStyle w:val="Normal"/>
        <w:jc w:val="center"/>
        <w:rPr>
          <w:rFonts w:ascii="仿宋_GB2312;仿宋" w:hAnsi="仿宋_GB2312;仿宋" w:eastAsia="仿宋_GB2312;仿宋"/>
          <w:sz w:val="32"/>
          <w:szCs w:val="32"/>
        </w:rPr>
      </w:pPr>
      <w:r>
        <w:rPr>
          <w:rFonts w:ascii="仿宋_GB2312;仿宋" w:hAnsi="仿宋_GB2312;仿宋" w:eastAsia="仿宋_GB2312;仿宋"/>
          <w:b/>
          <w:bCs/>
          <w:sz w:val="32"/>
          <w:szCs w:val="32"/>
        </w:rPr>
        <w:t>第四章  考核指标体系与计分方法</w:t>
      </w:r>
    </w:p>
    <w:p>
      <w:pPr>
        <w:pStyle w:val="Normal"/>
        <w:ind w:firstLine="643"/>
        <w:jc w:val="start"/>
        <w:rPr>
          <w:rFonts w:ascii="仿宋_GB2312;仿宋" w:hAnsi="仿宋_GB2312;仿宋" w:eastAsia="仿宋_GB2312;仿宋"/>
          <w:sz w:val="32"/>
          <w:szCs w:val="32"/>
        </w:rPr>
      </w:pPr>
      <w:r>
        <w:rPr>
          <w:rFonts w:ascii="仿宋_GB2312;仿宋" w:hAnsi="仿宋_GB2312;仿宋" w:eastAsia="仿宋_GB2312;仿宋"/>
          <w:b/>
          <w:bCs/>
          <w:sz w:val="32"/>
          <w:szCs w:val="32"/>
        </w:rPr>
        <w:t>第七条</w:t>
      </w:r>
      <w:r>
        <w:rPr>
          <w:rFonts w:ascii="仿宋_GB2312;仿宋" w:hAnsi="仿宋_GB2312;仿宋" w:eastAsia="仿宋_GB2312;仿宋"/>
          <w:sz w:val="32"/>
          <w:szCs w:val="32"/>
        </w:rPr>
        <w:t xml:space="preserve">  考核指标体系</w:t>
      </w:r>
    </w:p>
    <w:p>
      <w:pPr>
        <w:pStyle w:val="Normal"/>
        <w:ind w:firstLine="675"/>
        <w:rPr>
          <w:rFonts w:ascii="仿宋_GB2312;仿宋" w:hAnsi="仿宋_GB2312;仿宋" w:eastAsia="仿宋_GB2312;仿宋"/>
          <w:sz w:val="32"/>
          <w:szCs w:val="32"/>
        </w:rPr>
      </w:pPr>
      <w:r>
        <w:rPr>
          <w:rFonts w:ascii="仿宋_GB2312;仿宋" w:hAnsi="仿宋_GB2312;仿宋" w:eastAsia="仿宋_GB2312;仿宋"/>
          <w:sz w:val="32"/>
          <w:szCs w:val="32"/>
        </w:rPr>
        <w:t>省网络分公司绩效考核指标体系由网络质量类、效益效率类、管理类、评价类、重大事项和信息报送构成，具体绩效考核指标解释和计分细则见附件１。</w:t>
      </w:r>
    </w:p>
    <w:tbl>
      <w:tblPr>
        <w:tblW w:w="9540" w:type="dxa"/>
        <w:jc w:val="start"/>
        <w:tblInd w:w="-612" w:type="dxa"/>
        <w:tblLayout w:type="fixed"/>
        <w:tblCellMar>
          <w:top w:w="0" w:type="dxa"/>
          <w:start w:w="108" w:type="dxa"/>
          <w:bottom w:w="0" w:type="dxa"/>
          <w:end w:w="108" w:type="dxa"/>
        </w:tblCellMar>
      </w:tblPr>
      <w:tblGrid>
        <w:gridCol w:w="1080"/>
        <w:gridCol w:w="900"/>
        <w:gridCol w:w="3060"/>
        <w:gridCol w:w="3240"/>
        <w:gridCol w:w="1260"/>
      </w:tblGrid>
      <w:tr>
        <w:trPr>
          <w:trHeight w:val="303" w:hRule="atLeast"/>
        </w:trPr>
        <w:tc>
          <w:tcPr>
            <w:tcW w:w="1080" w:type="dxa"/>
            <w:tcBorders>
              <w:top w:val="single" w:sz="8" w:space="0" w:color="000000"/>
              <w:end w:val="single" w:sz="8" w:space="0" w:color="000000"/>
            </w:tcBorders>
            <w:shd w:fill="C0C0C0" w:val="clear"/>
            <w:vAlign w:val="center"/>
          </w:tcPr>
          <w:p>
            <w:pPr>
              <w:pStyle w:val="Normal"/>
              <w:widowControl/>
              <w:jc w:val="center"/>
              <w:rPr>
                <w:rFonts w:ascii="楷体_GB2312;楷体" w:hAnsi="楷体_GB2312;楷体" w:eastAsia="楷体_GB2312;楷体" w:cs="宋体"/>
                <w:b/>
                <w:b/>
                <w:bCs/>
                <w:kern w:val="0"/>
                <w:sz w:val="22"/>
              </w:rPr>
            </w:pPr>
            <w:r>
              <w:rPr>
                <w:rFonts w:ascii="楷体_GB2312;楷体" w:hAnsi="楷体_GB2312;楷体" w:cs="宋体" w:eastAsia="楷体_GB2312;楷体"/>
                <w:b/>
                <w:bCs/>
                <w:kern w:val="0"/>
                <w:sz w:val="22"/>
              </w:rPr>
              <w:t>类型</w:t>
            </w:r>
          </w:p>
        </w:tc>
        <w:tc>
          <w:tcPr>
            <w:tcW w:w="900" w:type="dxa"/>
            <w:tcBorders>
              <w:top w:val="single" w:sz="8" w:space="0" w:color="000000"/>
              <w:end w:val="single" w:sz="8" w:space="0" w:color="000000"/>
            </w:tcBorders>
            <w:shd w:fill="C0C0C0" w:val="clear"/>
            <w:vAlign w:val="center"/>
          </w:tcPr>
          <w:p>
            <w:pPr>
              <w:pStyle w:val="Normal"/>
              <w:widowControl/>
              <w:jc w:val="center"/>
              <w:rPr>
                <w:rFonts w:ascii="楷体_GB2312;楷体" w:hAnsi="楷体_GB2312;楷体" w:eastAsia="楷体_GB2312;楷体" w:cs="宋体"/>
                <w:b/>
                <w:b/>
                <w:bCs/>
                <w:kern w:val="0"/>
                <w:sz w:val="22"/>
              </w:rPr>
            </w:pPr>
            <w:r>
              <w:rPr>
                <w:rFonts w:ascii="楷体_GB2312;楷体" w:hAnsi="楷体_GB2312;楷体" w:cs="宋体" w:eastAsia="楷体_GB2312;楷体"/>
                <w:b/>
                <w:bCs/>
                <w:kern w:val="0"/>
                <w:sz w:val="22"/>
              </w:rPr>
              <w:t>序号</w:t>
            </w:r>
          </w:p>
        </w:tc>
        <w:tc>
          <w:tcPr>
            <w:tcW w:w="3060" w:type="dxa"/>
            <w:tcBorders>
              <w:top w:val="single" w:sz="8" w:space="0" w:color="000000"/>
              <w:end w:val="single" w:sz="8" w:space="0" w:color="000000"/>
            </w:tcBorders>
            <w:shd w:fill="C0C0C0" w:val="clear"/>
            <w:vAlign w:val="center"/>
          </w:tcPr>
          <w:p>
            <w:pPr>
              <w:pStyle w:val="Normal"/>
              <w:widowControl/>
              <w:jc w:val="center"/>
              <w:rPr>
                <w:rFonts w:ascii="楷体_GB2312;楷体" w:hAnsi="楷体_GB2312;楷体" w:eastAsia="楷体_GB2312;楷体" w:cs="宋体"/>
                <w:b/>
                <w:b/>
                <w:bCs/>
                <w:kern w:val="0"/>
                <w:sz w:val="22"/>
              </w:rPr>
            </w:pPr>
            <w:r>
              <w:rPr>
                <w:rFonts w:eastAsia="楷体_GB2312;楷体" w:cs="宋体" w:ascii="楷体_GB2312;楷体" w:hAnsi="楷体_GB2312;楷体"/>
                <w:b/>
                <w:bCs/>
                <w:kern w:val="0"/>
                <w:sz w:val="22"/>
              </w:rPr>
              <w:t>2012</w:t>
            </w:r>
            <w:r>
              <w:rPr>
                <w:rFonts w:ascii="楷体_GB2312;楷体" w:hAnsi="楷体_GB2312;楷体" w:cs="宋体" w:eastAsia="楷体_GB2312;楷体"/>
                <w:b/>
                <w:bCs/>
                <w:kern w:val="0"/>
                <w:sz w:val="22"/>
              </w:rPr>
              <w:t>年指标</w:t>
            </w:r>
            <w:r>
              <w:rPr>
                <w:rFonts w:eastAsia="楷体_GB2312;楷体" w:cs="宋体" w:ascii="楷体_GB2312;楷体" w:hAnsi="楷体_GB2312;楷体"/>
                <w:b/>
                <w:bCs/>
                <w:kern w:val="0"/>
                <w:sz w:val="22"/>
              </w:rPr>
              <w:t>/</w:t>
            </w:r>
            <w:r>
              <w:rPr>
                <w:rFonts w:ascii="楷体_GB2312;楷体" w:hAnsi="楷体_GB2312;楷体" w:cs="宋体" w:eastAsia="楷体_GB2312;楷体"/>
                <w:b/>
                <w:bCs/>
                <w:kern w:val="0"/>
                <w:sz w:val="22"/>
              </w:rPr>
              <w:t>分值</w:t>
            </w:r>
          </w:p>
        </w:tc>
        <w:tc>
          <w:tcPr>
            <w:tcW w:w="3240" w:type="dxa"/>
            <w:tcBorders>
              <w:top w:val="single" w:sz="8" w:space="0" w:color="000000"/>
              <w:end w:val="single" w:sz="4" w:space="0" w:color="000000"/>
            </w:tcBorders>
            <w:shd w:fill="C0C0C0" w:val="clear"/>
          </w:tcPr>
          <w:p>
            <w:pPr>
              <w:pStyle w:val="Normal"/>
              <w:widowControl/>
              <w:jc w:val="center"/>
              <w:rPr>
                <w:rFonts w:ascii="楷体_GB2312;楷体" w:hAnsi="楷体_GB2312;楷体" w:eastAsia="楷体_GB2312;楷体" w:cs="宋体"/>
                <w:b/>
                <w:b/>
                <w:bCs/>
                <w:kern w:val="0"/>
                <w:sz w:val="22"/>
              </w:rPr>
            </w:pPr>
            <w:r>
              <w:rPr>
                <w:rFonts w:ascii="楷体_GB2312;楷体" w:hAnsi="楷体_GB2312;楷体" w:cs="宋体" w:eastAsia="楷体_GB2312;楷体"/>
                <w:b/>
                <w:bCs/>
                <w:kern w:val="0"/>
                <w:sz w:val="22"/>
              </w:rPr>
              <w:t>具体指标名称</w:t>
            </w:r>
            <w:r>
              <w:rPr>
                <w:rFonts w:eastAsia="楷体_GB2312;楷体" w:cs="宋体" w:ascii="楷体_GB2312;楷体" w:hAnsi="楷体_GB2312;楷体"/>
                <w:b/>
                <w:bCs/>
                <w:kern w:val="0"/>
                <w:sz w:val="22"/>
              </w:rPr>
              <w:t>/</w:t>
            </w:r>
            <w:r>
              <w:rPr>
                <w:rFonts w:ascii="楷体_GB2312;楷体" w:hAnsi="楷体_GB2312;楷体" w:cs="宋体" w:eastAsia="楷体_GB2312;楷体"/>
                <w:b/>
                <w:bCs/>
                <w:kern w:val="0"/>
                <w:sz w:val="22"/>
              </w:rPr>
              <w:t>分值</w:t>
            </w:r>
          </w:p>
        </w:tc>
        <w:tc>
          <w:tcPr>
            <w:tcW w:w="1260" w:type="dxa"/>
            <w:tcBorders>
              <w:top w:val="single" w:sz="8" w:space="0" w:color="000000"/>
              <w:start w:val="single" w:sz="4" w:space="0" w:color="000000"/>
              <w:end w:val="single" w:sz="8" w:space="0" w:color="000000"/>
            </w:tcBorders>
            <w:shd w:fill="C0C0C0" w:val="clear"/>
            <w:vAlign w:val="center"/>
          </w:tcPr>
          <w:p>
            <w:pPr>
              <w:pStyle w:val="Normal"/>
              <w:widowControl/>
              <w:jc w:val="center"/>
              <w:rPr>
                <w:rFonts w:ascii="楷体_GB2312;楷体" w:hAnsi="楷体_GB2312;楷体" w:eastAsia="楷体_GB2312;楷体" w:cs="宋体"/>
                <w:b/>
                <w:b/>
                <w:bCs/>
                <w:kern w:val="0"/>
                <w:sz w:val="22"/>
              </w:rPr>
            </w:pPr>
            <w:r>
              <w:rPr>
                <w:rFonts w:ascii="楷体_GB2312;楷体" w:hAnsi="楷体_GB2312;楷体" w:cs="宋体" w:eastAsia="楷体_GB2312;楷体"/>
                <w:b/>
                <w:bCs/>
                <w:kern w:val="0"/>
                <w:sz w:val="22"/>
              </w:rPr>
              <w:t>责任部门</w:t>
            </w:r>
          </w:p>
        </w:tc>
      </w:tr>
      <w:tr>
        <w:trPr>
          <w:trHeight w:val="288" w:hRule="atLeast"/>
        </w:trPr>
        <w:tc>
          <w:tcPr>
            <w:tcW w:w="1080" w:type="dxa"/>
            <w:vMerge w:val="restart"/>
            <w:tcBorders>
              <w:top w:val="single" w:sz="8" w:space="0" w:color="000000"/>
              <w:start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网络质量类</w:t>
            </w:r>
          </w:p>
        </w:tc>
        <w:tc>
          <w:tcPr>
            <w:tcW w:w="900" w:type="dxa"/>
            <w:vMerge w:val="restart"/>
            <w:tcBorders>
              <w:top w:val="single" w:sz="8"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w:t>
            </w:r>
          </w:p>
        </w:tc>
        <w:tc>
          <w:tcPr>
            <w:tcW w:w="3060" w:type="dxa"/>
            <w:vMerge w:val="restart"/>
            <w:tcBorders>
              <w:top w:val="single" w:sz="8" w:space="0" w:color="000000"/>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基本</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指标</w:t>
            </w:r>
            <w:r>
              <w:rPr>
                <w:rFonts w:ascii="楷体_GB2312;楷体" w:hAnsi="楷体_GB2312;楷体" w:cs="宋体" w:eastAsia="楷体_GB2312;楷体"/>
                <w:color w:val="FF0000"/>
                <w:kern w:val="0"/>
                <w:sz w:val="22"/>
              </w:rPr>
              <w:t>（</w:t>
            </w:r>
            <w:r>
              <w:rPr>
                <w:rFonts w:eastAsia="楷体_GB2312;楷体" w:cs="宋体" w:ascii="楷体_GB2312;楷体" w:hAnsi="楷体_GB2312;楷体"/>
                <w:color w:val="FF0000"/>
                <w:kern w:val="0"/>
                <w:sz w:val="22"/>
              </w:rPr>
              <w:t>5</w:t>
            </w:r>
            <w:r>
              <w:rPr>
                <w:rFonts w:ascii="楷体_GB2312;楷体" w:hAnsi="楷体_GB2312;楷体" w:cs="宋体" w:eastAsia="楷体_GB2312;楷体"/>
                <w:color w:val="FF0000"/>
                <w:kern w:val="0"/>
                <w:sz w:val="22"/>
              </w:rPr>
              <w:t>分）</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完成</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情况</w:t>
            </w:r>
          </w:p>
        </w:tc>
        <w:tc>
          <w:tcPr>
            <w:tcW w:w="3240" w:type="dxa"/>
            <w:tcBorders>
              <w:top w:val="single" w:sz="8" w:space="0" w:color="000000"/>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长途交换网络接通率（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restart"/>
            <w:tcBorders>
              <w:top w:val="single" w:sz="8" w:space="0" w:color="000000"/>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运行维护部</w:t>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top w:val="single" w:sz="8"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top w:val="single" w:sz="8"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8" w:space="0" w:color="000000"/>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eastAsia="楷体_GB2312;楷体" w:cs="宋体" w:ascii="楷体_GB2312;楷体" w:hAnsi="楷体_GB2312;楷体"/>
                <w:kern w:val="0"/>
                <w:sz w:val="22"/>
              </w:rPr>
              <w:t>IP</w:t>
            </w:r>
            <w:r>
              <w:rPr>
                <w:rFonts w:ascii="楷体_GB2312;楷体" w:hAnsi="楷体_GB2312;楷体" w:cs="宋体" w:eastAsia="楷体_GB2312;楷体"/>
                <w:kern w:val="0"/>
                <w:sz w:val="22"/>
              </w:rPr>
              <w:t>承载网丢包率（</w:t>
            </w:r>
            <w:r>
              <w:rPr>
                <w:rFonts w:eastAsia="楷体_GB2312;楷体" w:cs="宋体" w:ascii="楷体_GB2312;楷体" w:hAnsi="楷体_GB2312;楷体"/>
                <w:kern w:val="0"/>
                <w:sz w:val="22"/>
              </w:rPr>
              <w:t>0.5</w:t>
            </w:r>
            <w:r>
              <w:rPr>
                <w:rFonts w:ascii="楷体_GB2312;楷体" w:hAnsi="楷体_GB2312;楷体" w:cs="宋体" w:eastAsia="楷体_GB2312;楷体"/>
                <w:kern w:val="0"/>
                <w:sz w:val="22"/>
              </w:rPr>
              <w:t>分）</w:t>
            </w:r>
          </w:p>
        </w:tc>
        <w:tc>
          <w:tcPr>
            <w:tcW w:w="1260" w:type="dxa"/>
            <w:vMerge w:val="continue"/>
            <w:tcBorders>
              <w:top w:val="single" w:sz="8" w:space="0" w:color="000000"/>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top w:val="single" w:sz="8"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top w:val="single" w:sz="8"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8" w:space="0" w:color="000000"/>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省内互联网网络质量（</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continue"/>
            <w:tcBorders>
              <w:top w:val="single" w:sz="8" w:space="0" w:color="000000"/>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top w:val="single" w:sz="8"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top w:val="single" w:sz="8"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8" w:space="0" w:color="000000"/>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eastAsia="楷体_GB2312;楷体" w:cs="宋体" w:ascii="楷体_GB2312;楷体" w:hAnsi="楷体_GB2312;楷体"/>
                <w:kern w:val="0"/>
                <w:sz w:val="22"/>
              </w:rPr>
              <w:t>PDP</w:t>
            </w:r>
            <w:r>
              <w:rPr>
                <w:rFonts w:ascii="楷体_GB2312;楷体" w:hAnsi="楷体_GB2312;楷体" w:cs="宋体" w:eastAsia="楷体_GB2312;楷体"/>
                <w:kern w:val="0"/>
                <w:sz w:val="22"/>
              </w:rPr>
              <w:t>激活成功率（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continue"/>
            <w:tcBorders>
              <w:top w:val="single" w:sz="8" w:space="0" w:color="000000"/>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top w:val="single" w:sz="8"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top w:val="single" w:sz="8"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8" w:space="0" w:color="000000"/>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附着成功率（</w:t>
            </w:r>
            <w:r>
              <w:rPr>
                <w:rFonts w:eastAsia="楷体_GB2312;楷体" w:cs="宋体" w:ascii="楷体_GB2312;楷体" w:hAnsi="楷体_GB2312;楷体"/>
                <w:kern w:val="0"/>
                <w:sz w:val="22"/>
              </w:rPr>
              <w:t>0.5</w:t>
            </w:r>
            <w:r>
              <w:rPr>
                <w:rFonts w:ascii="楷体_GB2312;楷体" w:hAnsi="楷体_GB2312;楷体" w:cs="宋体" w:eastAsia="楷体_GB2312;楷体"/>
                <w:kern w:val="0"/>
                <w:sz w:val="22"/>
              </w:rPr>
              <w:t>分）</w:t>
            </w:r>
          </w:p>
        </w:tc>
        <w:tc>
          <w:tcPr>
            <w:tcW w:w="1260" w:type="dxa"/>
            <w:vMerge w:val="continue"/>
            <w:tcBorders>
              <w:top w:val="single" w:sz="8" w:space="0" w:color="000000"/>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top w:val="single" w:sz="8"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top w:val="single" w:sz="8"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8" w:space="0" w:color="000000"/>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彩信网络接通率（</w:t>
            </w:r>
            <w:r>
              <w:rPr>
                <w:rFonts w:eastAsia="楷体_GB2312;楷体" w:cs="宋体" w:ascii="楷体_GB2312;楷体" w:hAnsi="楷体_GB2312;楷体"/>
                <w:kern w:val="0"/>
                <w:sz w:val="22"/>
              </w:rPr>
              <w:t>0.5</w:t>
            </w:r>
            <w:r>
              <w:rPr>
                <w:rFonts w:ascii="楷体_GB2312;楷体" w:hAnsi="楷体_GB2312;楷体" w:cs="宋体" w:eastAsia="楷体_GB2312;楷体"/>
                <w:kern w:val="0"/>
                <w:sz w:val="22"/>
              </w:rPr>
              <w:t>分）</w:t>
            </w:r>
          </w:p>
        </w:tc>
        <w:tc>
          <w:tcPr>
            <w:tcW w:w="1260" w:type="dxa"/>
            <w:vMerge w:val="continue"/>
            <w:tcBorders>
              <w:top w:val="single" w:sz="8" w:space="0" w:color="000000"/>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top w:val="single" w:sz="8"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top w:val="single" w:sz="8"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8" w:space="0" w:color="000000"/>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eastAsia="楷体_GB2312;楷体" w:cs="宋体" w:ascii="楷体_GB2312;楷体" w:hAnsi="楷体_GB2312;楷体"/>
                <w:kern w:val="0"/>
                <w:sz w:val="22"/>
              </w:rPr>
              <w:t>WAP/WEB</w:t>
            </w:r>
            <w:r>
              <w:rPr>
                <w:rFonts w:ascii="楷体_GB2312;楷体" w:hAnsi="楷体_GB2312;楷体" w:cs="宋体" w:eastAsia="楷体_GB2312;楷体"/>
                <w:kern w:val="0"/>
                <w:sz w:val="22"/>
              </w:rPr>
              <w:t>网关业务接通率（</w:t>
            </w:r>
            <w:r>
              <w:rPr>
                <w:rFonts w:eastAsia="楷体_GB2312;楷体" w:cs="宋体" w:ascii="楷体_GB2312;楷体" w:hAnsi="楷体_GB2312;楷体"/>
                <w:kern w:val="0"/>
                <w:sz w:val="22"/>
              </w:rPr>
              <w:t>0.5</w:t>
            </w:r>
            <w:r>
              <w:rPr>
                <w:rFonts w:ascii="楷体_GB2312;楷体" w:hAnsi="楷体_GB2312;楷体" w:cs="宋体" w:eastAsia="楷体_GB2312;楷体"/>
                <w:kern w:val="0"/>
                <w:sz w:val="22"/>
              </w:rPr>
              <w:t>分）</w:t>
            </w:r>
          </w:p>
        </w:tc>
        <w:tc>
          <w:tcPr>
            <w:tcW w:w="1260" w:type="dxa"/>
            <w:vMerge w:val="continue"/>
            <w:tcBorders>
              <w:top w:val="single" w:sz="8" w:space="0" w:color="000000"/>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2</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移动网络日</w:t>
            </w:r>
            <w:r>
              <w:rPr>
                <w:rFonts w:ascii="楷体_GB2312;楷体" w:hAnsi="楷体_GB2312;楷体" w:cs="宋体" w:eastAsia="楷体_GB2312;楷体"/>
                <w:color w:val="FF0000"/>
                <w:kern w:val="0"/>
                <w:sz w:val="22"/>
              </w:rPr>
              <w:t>（</w:t>
            </w:r>
            <w:r>
              <w:rPr>
                <w:rFonts w:eastAsia="楷体_GB2312;楷体" w:cs="宋体" w:ascii="楷体_GB2312;楷体" w:hAnsi="楷体_GB2312;楷体"/>
                <w:color w:val="FF0000"/>
                <w:kern w:val="0"/>
                <w:sz w:val="22"/>
              </w:rPr>
              <w:t>6</w:t>
            </w:r>
            <w:r>
              <w:rPr>
                <w:rFonts w:ascii="楷体_GB2312;楷体" w:hAnsi="楷体_GB2312;楷体" w:cs="宋体" w:eastAsia="楷体_GB2312;楷体"/>
                <w:color w:val="FF0000"/>
                <w:kern w:val="0"/>
                <w:sz w:val="22"/>
              </w:rPr>
              <w:t>分）</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常优化评估</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质量差小区比例（</w:t>
            </w:r>
            <w:r>
              <w:rPr>
                <w:rFonts w:eastAsia="楷体_GB2312;楷体" w:cs="宋体" w:ascii="楷体_GB2312;楷体" w:hAnsi="楷体_GB2312;楷体"/>
                <w:kern w:val="0"/>
                <w:sz w:val="22"/>
              </w:rPr>
              <w:t>4</w:t>
            </w:r>
            <w:r>
              <w:rPr>
                <w:rFonts w:ascii="楷体_GB2312;楷体" w:hAnsi="楷体_GB2312;楷体" w:cs="宋体" w:eastAsia="楷体_GB2312;楷体"/>
                <w:kern w:val="0"/>
                <w:sz w:val="22"/>
              </w:rPr>
              <w:t>分）</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运行维护部</w:t>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eastAsia="楷体_GB2312;楷体" w:cs="宋体" w:ascii="楷体_GB2312;楷体" w:hAnsi="楷体_GB2312;楷体"/>
                <w:kern w:val="0"/>
                <w:sz w:val="22"/>
              </w:rPr>
              <w:t>3G</w:t>
            </w:r>
            <w:r>
              <w:rPr>
                <w:rFonts w:ascii="楷体_GB2312;楷体" w:hAnsi="楷体_GB2312;楷体" w:cs="宋体" w:eastAsia="楷体_GB2312;楷体"/>
                <w:kern w:val="0"/>
                <w:sz w:val="22"/>
              </w:rPr>
              <w:t>邻区参数核查（</w:t>
            </w:r>
            <w:r>
              <w:rPr>
                <w:rFonts w:eastAsia="楷体_GB2312;楷体" w:cs="宋体" w:ascii="楷体_GB2312;楷体" w:hAnsi="楷体_GB2312;楷体"/>
                <w:kern w:val="0"/>
                <w:sz w:val="22"/>
              </w:rPr>
              <w:t>2</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3</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省际集团</w:t>
            </w:r>
            <w:r>
              <w:rPr>
                <w:rFonts w:ascii="楷体_GB2312;楷体" w:hAnsi="楷体_GB2312;楷体" w:cs="宋体" w:eastAsia="楷体_GB2312;楷体"/>
                <w:color w:val="FF0000"/>
                <w:kern w:val="0"/>
                <w:sz w:val="22"/>
              </w:rPr>
              <w:t>（</w:t>
            </w:r>
            <w:r>
              <w:rPr>
                <w:rFonts w:eastAsia="楷体_GB2312;楷体" w:cs="宋体" w:ascii="楷体_GB2312;楷体" w:hAnsi="楷体_GB2312;楷体"/>
                <w:color w:val="FF0000"/>
                <w:kern w:val="0"/>
                <w:sz w:val="22"/>
              </w:rPr>
              <w:t>4</w:t>
            </w:r>
            <w:r>
              <w:rPr>
                <w:rFonts w:ascii="楷体_GB2312;楷体" w:hAnsi="楷体_GB2312;楷体" w:cs="宋体" w:eastAsia="楷体_GB2312;楷体"/>
                <w:color w:val="FF0000"/>
                <w:kern w:val="0"/>
                <w:sz w:val="22"/>
              </w:rPr>
              <w:t>分）</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客户综合</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感知</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集团客户电路开通及时率（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运行维护部</w:t>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集团客户业务故障恢复及时率（</w:t>
            </w:r>
            <w:r>
              <w:rPr>
                <w:rFonts w:eastAsia="楷体_GB2312;楷体" w:cs="宋体" w:ascii="楷体_GB2312;楷体" w:hAnsi="楷体_GB2312;楷体"/>
                <w:kern w:val="0"/>
                <w:sz w:val="22"/>
              </w:rPr>
              <w:t>2</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top w:val="single" w:sz="8" w:space="0" w:color="000000"/>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集团客户电路重复故障率（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restart"/>
            <w:tcBorders>
              <w:start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效益效率类</w:t>
            </w:r>
          </w:p>
        </w:tc>
        <w:tc>
          <w:tcPr>
            <w:tcW w:w="900" w:type="dxa"/>
            <w:tcBorders>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4</w:t>
            </w:r>
          </w:p>
        </w:tc>
        <w:tc>
          <w:tcPr>
            <w:tcW w:w="3060" w:type="dxa"/>
            <w:tcBorders>
              <w:bottom w:val="single" w:sz="4" w:space="0" w:color="000000"/>
              <w:end w:val="single" w:sz="4" w:space="0" w:color="000000"/>
            </w:tcBorders>
            <w:vAlign w:val="bottom"/>
          </w:tcPr>
          <w:p>
            <w:pPr>
              <w:pStyle w:val="Normal"/>
              <w:widowControl/>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t>2G</w:t>
            </w:r>
            <w:r>
              <w:rPr>
                <w:rFonts w:ascii="楷体_GB2312;楷体" w:hAnsi="楷体_GB2312;楷体" w:cs="宋体" w:eastAsia="楷体_GB2312;楷体"/>
                <w:kern w:val="0"/>
                <w:sz w:val="22"/>
              </w:rPr>
              <w:t>网络资源利用率（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eastAsia="楷体_GB2312;楷体" w:cs="宋体" w:ascii="楷体_GB2312;楷体" w:hAnsi="楷体_GB2312;楷体"/>
                <w:kern w:val="0"/>
                <w:sz w:val="22"/>
              </w:rPr>
              <w:t>2G</w:t>
            </w:r>
            <w:r>
              <w:rPr>
                <w:rFonts w:ascii="楷体_GB2312;楷体" w:hAnsi="楷体_GB2312;楷体" w:cs="宋体" w:eastAsia="楷体_GB2312;楷体"/>
                <w:kern w:val="0"/>
                <w:sz w:val="22"/>
              </w:rPr>
              <w:t>网络资源利用率（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网络财务部、运行维护部</w:t>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tcBorders>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5</w:t>
            </w:r>
          </w:p>
        </w:tc>
        <w:tc>
          <w:tcPr>
            <w:tcW w:w="3060" w:type="dxa"/>
            <w:tcBorders>
              <w:bottom w:val="single" w:sz="4" w:space="0" w:color="000000"/>
              <w:end w:val="single" w:sz="4" w:space="0" w:color="000000"/>
            </w:tcBorders>
            <w:vAlign w:val="bottom"/>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宽带接入设备利用率（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宽带接入设备利用率（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tcBorders>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6</w:t>
            </w:r>
          </w:p>
        </w:tc>
        <w:tc>
          <w:tcPr>
            <w:tcW w:w="3060" w:type="dxa"/>
            <w:tcBorders>
              <w:bottom w:val="single" w:sz="4" w:space="0" w:color="000000"/>
              <w:end w:val="single" w:sz="4" w:space="0" w:color="000000"/>
            </w:tcBorders>
            <w:vAlign w:val="bottom"/>
          </w:tcPr>
          <w:p>
            <w:pPr>
              <w:pStyle w:val="Normal"/>
              <w:widowControl/>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t>PSTN</w:t>
            </w:r>
            <w:r>
              <w:rPr>
                <w:rFonts w:ascii="楷体_GB2312;楷体" w:hAnsi="楷体_GB2312;楷体" w:cs="宋体" w:eastAsia="楷体_GB2312;楷体"/>
                <w:kern w:val="0"/>
                <w:sz w:val="22"/>
              </w:rPr>
              <w:t>接入设备利用率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eastAsia="楷体_GB2312;楷体" w:cs="宋体" w:ascii="楷体_GB2312;楷体" w:hAnsi="楷体_GB2312;楷体"/>
                <w:kern w:val="0"/>
                <w:sz w:val="22"/>
              </w:rPr>
              <w:t>PSTN</w:t>
            </w:r>
            <w:r>
              <w:rPr>
                <w:rFonts w:ascii="楷体_GB2312;楷体" w:hAnsi="楷体_GB2312;楷体" w:cs="宋体" w:eastAsia="楷体_GB2312;楷体"/>
                <w:kern w:val="0"/>
                <w:sz w:val="22"/>
              </w:rPr>
              <w:t>接入设备利用率（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tcBorders>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7</w:t>
            </w:r>
          </w:p>
        </w:tc>
        <w:tc>
          <w:tcPr>
            <w:tcW w:w="3060" w:type="dxa"/>
            <w:tcBorders>
              <w:bottom w:val="single" w:sz="4" w:space="0" w:color="000000"/>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投资完成率（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（资本性支出入账进度）</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投资完成率（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tcBorders>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网络财务部、网络建设部</w:t>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8</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网络资产转固率（</w:t>
            </w:r>
            <w:r>
              <w:rPr>
                <w:rFonts w:eastAsia="楷体_GB2312;楷体" w:cs="宋体" w:ascii="楷体_GB2312;楷体" w:hAnsi="楷体_GB2312;楷体"/>
                <w:kern w:val="0"/>
                <w:sz w:val="22"/>
              </w:rPr>
              <w:t>3</w:t>
            </w:r>
            <w:r>
              <w:rPr>
                <w:rFonts w:ascii="楷体_GB2312;楷体" w:hAnsi="楷体_GB2312;楷体" w:cs="宋体" w:eastAsia="楷体_GB2312;楷体"/>
                <w:kern w:val="0"/>
                <w:sz w:val="22"/>
              </w:rPr>
              <w:t>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网络资产转固率（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网络财务部、网络建设部、运行维护部</w:t>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项目竣工决算编制报审（</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审计及时率（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9</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运维成本预算完成率（</w:t>
            </w:r>
            <w:r>
              <w:rPr>
                <w:rFonts w:eastAsia="楷体_GB2312;楷体" w:cs="宋体" w:ascii="楷体_GB2312;楷体" w:hAnsi="楷体_GB2312;楷体"/>
                <w:kern w:val="0"/>
                <w:sz w:val="22"/>
              </w:rPr>
              <w:t>3</w:t>
            </w:r>
            <w:r>
              <w:rPr>
                <w:rFonts w:ascii="楷体_GB2312;楷体" w:hAnsi="楷体_GB2312;楷体" w:cs="宋体" w:eastAsia="楷体_GB2312;楷体"/>
                <w:kern w:val="0"/>
                <w:sz w:val="22"/>
              </w:rPr>
              <w:t>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运维成本总体预算完成率（</w:t>
            </w:r>
            <w:r>
              <w:rPr>
                <w:rFonts w:eastAsia="楷体_GB2312;楷体" w:cs="宋体" w:ascii="楷体_GB2312;楷体" w:hAnsi="楷体_GB2312;楷体"/>
                <w:kern w:val="0"/>
                <w:sz w:val="22"/>
              </w:rPr>
              <w:t>1.5</w:t>
            </w:r>
            <w:r>
              <w:rPr>
                <w:rFonts w:ascii="楷体_GB2312;楷体" w:hAnsi="楷体_GB2312;楷体" w:cs="宋体" w:eastAsia="楷体_GB2312;楷体"/>
                <w:kern w:val="0"/>
                <w:sz w:val="22"/>
              </w:rPr>
              <w:t>分）</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color w:val="FF0000"/>
                <w:kern w:val="0"/>
                <w:sz w:val="22"/>
              </w:rPr>
            </w:pPr>
            <w:r>
              <w:rPr>
                <w:rFonts w:ascii="楷体_GB2312;楷体" w:hAnsi="楷体_GB2312;楷体" w:cs="宋体" w:eastAsia="楷体_GB2312;楷体"/>
                <w:kern w:val="0"/>
                <w:sz w:val="22"/>
              </w:rPr>
              <w:t>网络财务部、运行维护部</w:t>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color w:val="FF0000"/>
                <w:kern w:val="0"/>
                <w:sz w:val="22"/>
              </w:rPr>
            </w:pPr>
            <w:r>
              <w:rPr>
                <w:rFonts w:eastAsia="楷体_GB2312;楷体" w:cs="宋体" w:ascii="楷体_GB2312;楷体" w:hAnsi="楷体_GB2312;楷体"/>
                <w:color w:val="FF0000"/>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能耗预算完成率（</w:t>
            </w:r>
            <w:r>
              <w:rPr>
                <w:rFonts w:eastAsia="楷体_GB2312;楷体" w:cs="宋体" w:ascii="楷体_GB2312;楷体" w:hAnsi="楷体_GB2312;楷体"/>
                <w:kern w:val="0"/>
                <w:sz w:val="22"/>
              </w:rPr>
              <w:t>1</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建设线租赁费预算完成率（</w:t>
            </w:r>
            <w:r>
              <w:rPr>
                <w:rFonts w:eastAsia="楷体_GB2312;楷体" w:cs="宋体" w:ascii="楷体_GB2312;楷体" w:hAnsi="楷体_GB2312;楷体"/>
                <w:kern w:val="0"/>
                <w:sz w:val="22"/>
              </w:rPr>
              <w:t>0.5</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10</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重要项目完成率（</w:t>
            </w:r>
            <w:r>
              <w:rPr>
                <w:rFonts w:eastAsia="楷体_GB2312;楷体" w:cs="宋体" w:ascii="楷体_GB2312;楷体" w:hAnsi="楷体_GB2312;楷体"/>
                <w:kern w:val="0"/>
                <w:sz w:val="22"/>
              </w:rPr>
              <w:t>18</w:t>
            </w:r>
            <w:r>
              <w:rPr>
                <w:rFonts w:ascii="楷体_GB2312;楷体" w:hAnsi="楷体_GB2312;楷体" w:cs="宋体" w:eastAsia="楷体_GB2312;楷体"/>
                <w:kern w:val="0"/>
                <w:sz w:val="22"/>
              </w:rPr>
              <w:t>分）</w:t>
            </w:r>
          </w:p>
        </w:tc>
        <w:tc>
          <w:tcPr>
            <w:tcW w:w="3240" w:type="dxa"/>
            <w:tcBorders>
              <w:bottom w:val="single" w:sz="4" w:space="0" w:color="000000"/>
              <w:end w:val="single" w:sz="4" w:space="0" w:color="000000"/>
            </w:tcBorders>
          </w:tcPr>
          <w:p>
            <w:pPr>
              <w:pStyle w:val="Normal"/>
              <w:widowControl/>
              <w:tabs>
                <w:tab w:val="clear" w:pos="420"/>
                <w:tab w:val="left" w:pos="0" w:leader="none"/>
              </w:tabs>
              <w:rPr>
                <w:rFonts w:ascii="楷体_GB2312;楷体" w:hAnsi="楷体_GB2312;楷体" w:eastAsia="楷体_GB2312;楷体" w:cs="宋体"/>
                <w:kern w:val="0"/>
                <w:sz w:val="22"/>
              </w:rPr>
            </w:pPr>
            <w:r>
              <w:rPr>
                <w:rFonts w:ascii="楷体_GB2312;楷体" w:hAnsi="楷体_GB2312;楷体" w:cs="宋体" w:eastAsia="楷体_GB2312;楷体"/>
                <w:kern w:val="0"/>
                <w:sz w:val="22"/>
              </w:rPr>
              <w:t>全年</w:t>
            </w:r>
            <w:r>
              <w:rPr>
                <w:rFonts w:eastAsia="楷体_GB2312;楷体" w:cs="宋体" w:ascii="楷体_GB2312;楷体" w:hAnsi="楷体_GB2312;楷体"/>
                <w:kern w:val="0"/>
                <w:sz w:val="22"/>
              </w:rPr>
              <w:t>WCDMA</w:t>
            </w:r>
            <w:r>
              <w:rPr>
                <w:rFonts w:ascii="楷体_GB2312;楷体" w:hAnsi="楷体_GB2312;楷体" w:cs="宋体" w:eastAsia="楷体_GB2312;楷体"/>
                <w:kern w:val="0"/>
                <w:sz w:val="22"/>
              </w:rPr>
              <w:t>、</w:t>
            </w:r>
            <w:r>
              <w:rPr>
                <w:rFonts w:eastAsia="楷体_GB2312;楷体" w:cs="宋体" w:ascii="楷体_GB2312;楷体" w:hAnsi="楷体_GB2312;楷体"/>
                <w:kern w:val="0"/>
                <w:sz w:val="22"/>
              </w:rPr>
              <w:t>GSM</w:t>
            </w:r>
            <w:r>
              <w:rPr>
                <w:rFonts w:ascii="楷体_GB2312;楷体" w:hAnsi="楷体_GB2312;楷体" w:cs="宋体" w:eastAsia="楷体_GB2312;楷体"/>
                <w:kern w:val="0"/>
                <w:sz w:val="22"/>
              </w:rPr>
              <w:t>网、移动网配套传输工程建设任务完成率（</w:t>
            </w:r>
            <w:r>
              <w:rPr>
                <w:rFonts w:eastAsia="楷体_GB2312;楷体" w:cs="宋体" w:ascii="楷体_GB2312;楷体" w:hAnsi="楷体_GB2312;楷体"/>
                <w:kern w:val="0"/>
                <w:sz w:val="22"/>
              </w:rPr>
              <w:t>6</w:t>
            </w:r>
            <w:r>
              <w:rPr>
                <w:rFonts w:ascii="楷体_GB2312;楷体" w:hAnsi="楷体_GB2312;楷体" w:cs="宋体" w:eastAsia="楷体_GB2312;楷体"/>
                <w:kern w:val="0"/>
                <w:sz w:val="22"/>
              </w:rPr>
              <w:t>分）</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网络建设部</w:t>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全年</w:t>
            </w:r>
            <w:r>
              <w:rPr>
                <w:rFonts w:eastAsia="楷体_GB2312;楷体" w:cs="宋体" w:ascii="楷体_GB2312;楷体" w:hAnsi="楷体_GB2312;楷体"/>
                <w:kern w:val="0"/>
                <w:sz w:val="22"/>
              </w:rPr>
              <w:t>WiFi</w:t>
            </w:r>
            <w:r>
              <w:rPr>
                <w:rFonts w:ascii="楷体_GB2312;楷体" w:hAnsi="楷体_GB2312;楷体" w:cs="宋体" w:eastAsia="楷体_GB2312;楷体"/>
                <w:kern w:val="0"/>
                <w:sz w:val="22"/>
              </w:rPr>
              <w:t>、交通干线、乡镇、室内分布系统覆盖建设任务完成率（</w:t>
            </w:r>
            <w:r>
              <w:rPr>
                <w:rFonts w:eastAsia="楷体_GB2312;楷体" w:cs="宋体" w:ascii="楷体_GB2312;楷体" w:hAnsi="楷体_GB2312;楷体"/>
                <w:kern w:val="0"/>
                <w:sz w:val="22"/>
              </w:rPr>
              <w:t>8</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全年商务楼宇宽带接入计划、宽带接入网建设任务完成率（</w:t>
            </w:r>
            <w:r>
              <w:rPr>
                <w:rFonts w:eastAsia="楷体_GB2312;楷体" w:cs="宋体" w:ascii="楷体_GB2312;楷体" w:hAnsi="楷体_GB2312;楷体"/>
                <w:kern w:val="0"/>
                <w:sz w:val="22"/>
              </w:rPr>
              <w:t>4</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11</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可研、初设、初验</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及终验按规定（</w:t>
            </w:r>
            <w:r>
              <w:rPr>
                <w:rFonts w:eastAsia="楷体_GB2312;楷体" w:cs="宋体" w:ascii="楷体_GB2312;楷体" w:hAnsi="楷体_GB2312;楷体"/>
                <w:kern w:val="0"/>
                <w:sz w:val="22"/>
              </w:rPr>
              <w:t>7</w:t>
            </w:r>
            <w:r>
              <w:rPr>
                <w:rFonts w:ascii="楷体_GB2312;楷体" w:hAnsi="楷体_GB2312;楷体" w:cs="宋体" w:eastAsia="楷体_GB2312;楷体"/>
                <w:kern w:val="0"/>
                <w:sz w:val="22"/>
              </w:rPr>
              <w:t>分）</w:t>
            </w:r>
          </w:p>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时间完成率</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完成项目（含续建项目）可研报审（</w:t>
            </w:r>
            <w:r>
              <w:rPr>
                <w:rFonts w:eastAsia="楷体_GB2312;楷体" w:cs="宋体" w:ascii="楷体_GB2312;楷体" w:hAnsi="楷体_GB2312;楷体"/>
                <w:kern w:val="0"/>
                <w:sz w:val="22"/>
              </w:rPr>
              <w:t>3</w:t>
            </w:r>
            <w:r>
              <w:rPr>
                <w:rFonts w:ascii="楷体_GB2312;楷体" w:hAnsi="楷体_GB2312;楷体" w:cs="宋体" w:eastAsia="楷体_GB2312;楷体"/>
                <w:kern w:val="0"/>
                <w:sz w:val="22"/>
              </w:rPr>
              <w:t>分）</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网络建设部</w:t>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完成项目（含续建项目）初验报备（</w:t>
            </w:r>
            <w:r>
              <w:rPr>
                <w:rFonts w:eastAsia="楷体_GB2312;楷体" w:cs="宋体" w:ascii="楷体_GB2312;楷体" w:hAnsi="楷体_GB2312;楷体"/>
                <w:kern w:val="0"/>
                <w:sz w:val="22"/>
              </w:rPr>
              <w:t>2</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完成项目（含续建项目）终验报备（</w:t>
            </w:r>
            <w:r>
              <w:rPr>
                <w:rFonts w:eastAsia="楷体_GB2312;楷体" w:cs="宋体" w:ascii="楷体_GB2312;楷体" w:hAnsi="楷体_GB2312;楷体"/>
                <w:kern w:val="0"/>
                <w:sz w:val="22"/>
              </w:rPr>
              <w:t>2</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管理类</w:t>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12</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两个服务承诺落实情况（</w:t>
            </w:r>
            <w:r>
              <w:rPr>
                <w:rFonts w:eastAsia="楷体_GB2312;楷体" w:cs="宋体" w:ascii="楷体_GB2312;楷体" w:hAnsi="楷体_GB2312;楷体"/>
                <w:kern w:val="0"/>
                <w:sz w:val="22"/>
              </w:rPr>
              <w:t>4</w:t>
            </w:r>
            <w:r>
              <w:rPr>
                <w:rFonts w:ascii="楷体_GB2312;楷体" w:hAnsi="楷体_GB2312;楷体" w:cs="宋体" w:eastAsia="楷体_GB2312;楷体"/>
                <w:kern w:val="0"/>
                <w:sz w:val="22"/>
              </w:rPr>
              <w:t>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移动服务承诺落实情况（</w:t>
            </w:r>
            <w:r>
              <w:rPr>
                <w:rFonts w:eastAsia="楷体_GB2312;楷体" w:cs="宋体" w:ascii="楷体_GB2312;楷体" w:hAnsi="楷体_GB2312;楷体"/>
                <w:kern w:val="0"/>
                <w:sz w:val="22"/>
              </w:rPr>
              <w:t>2</w:t>
            </w:r>
            <w:r>
              <w:rPr>
                <w:rFonts w:ascii="楷体_GB2312;楷体" w:hAnsi="楷体_GB2312;楷体" w:cs="宋体" w:eastAsia="楷体_GB2312;楷体"/>
                <w:kern w:val="0"/>
                <w:sz w:val="22"/>
              </w:rPr>
              <w:t>分）</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运行维护部</w:t>
            </w:r>
          </w:p>
        </w:tc>
      </w:tr>
      <w:tr>
        <w:trPr>
          <w:trHeight w:val="288"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宽带服务承诺落实情况（</w:t>
            </w:r>
            <w:r>
              <w:rPr>
                <w:rFonts w:eastAsia="楷体_GB2312;楷体" w:cs="宋体" w:ascii="楷体_GB2312;楷体" w:hAnsi="楷体_GB2312;楷体"/>
                <w:kern w:val="0"/>
                <w:sz w:val="22"/>
              </w:rPr>
              <w:t>2</w:t>
            </w:r>
            <w:r>
              <w:rPr>
                <w:rFonts w:ascii="楷体_GB2312;楷体" w:hAnsi="楷体_GB2312;楷体" w:cs="宋体" w:eastAsia="楷体_GB2312;楷体"/>
                <w:kern w:val="0"/>
                <w:sz w:val="22"/>
              </w:rPr>
              <w:t>分）</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tcBorders>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13</w:t>
            </w:r>
          </w:p>
        </w:tc>
        <w:tc>
          <w:tcPr>
            <w:tcW w:w="3060" w:type="dxa"/>
            <w:tcBorders>
              <w:bottom w:val="single" w:sz="4" w:space="0" w:color="000000"/>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节能减排完成情况（</w:t>
            </w:r>
            <w:r>
              <w:rPr>
                <w:rFonts w:eastAsia="楷体_GB2312;楷体" w:cs="宋体" w:ascii="楷体_GB2312;楷体" w:hAnsi="楷体_GB2312;楷体"/>
                <w:kern w:val="0"/>
                <w:sz w:val="22"/>
              </w:rPr>
              <w:t>6</w:t>
            </w:r>
            <w:r>
              <w:rPr>
                <w:rFonts w:ascii="楷体_GB2312;楷体" w:hAnsi="楷体_GB2312;楷体" w:cs="宋体" w:eastAsia="楷体_GB2312;楷体"/>
                <w:kern w:val="0"/>
                <w:sz w:val="22"/>
              </w:rPr>
              <w:t>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节能减排完成情况（</w:t>
            </w:r>
            <w:r>
              <w:rPr>
                <w:rFonts w:eastAsia="楷体_GB2312;楷体" w:cs="宋体" w:ascii="楷体_GB2312;楷体" w:hAnsi="楷体_GB2312;楷体"/>
                <w:kern w:val="0"/>
                <w:sz w:val="22"/>
              </w:rPr>
              <w:t>6</w:t>
            </w:r>
            <w:r>
              <w:rPr>
                <w:rFonts w:ascii="楷体_GB2312;楷体" w:hAnsi="楷体_GB2312;楷体" w:cs="宋体" w:eastAsia="楷体_GB2312;楷体"/>
                <w:kern w:val="0"/>
                <w:sz w:val="22"/>
              </w:rPr>
              <w:t>分）</w:t>
            </w:r>
          </w:p>
        </w:tc>
        <w:tc>
          <w:tcPr>
            <w:tcW w:w="1260" w:type="dxa"/>
            <w:tcBorders>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运行维护部</w:t>
            </w:r>
          </w:p>
        </w:tc>
      </w:tr>
      <w:tr>
        <w:trPr>
          <w:trHeight w:val="288"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tcBorders>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14</w:t>
            </w:r>
          </w:p>
        </w:tc>
        <w:tc>
          <w:tcPr>
            <w:tcW w:w="3060" w:type="dxa"/>
            <w:tcBorders>
              <w:bottom w:val="single" w:sz="4" w:space="0" w:color="000000"/>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生产调度执行情况（扣分）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生产调度执行情况</w:t>
            </w:r>
          </w:p>
        </w:tc>
        <w:tc>
          <w:tcPr>
            <w:tcW w:w="1260" w:type="dxa"/>
            <w:tcBorders>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运行维护部</w:t>
            </w:r>
          </w:p>
        </w:tc>
      </w:tr>
      <w:tr>
        <w:trPr>
          <w:trHeight w:val="288"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tcBorders>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15</w:t>
            </w:r>
          </w:p>
        </w:tc>
        <w:tc>
          <w:tcPr>
            <w:tcW w:w="3060" w:type="dxa"/>
            <w:tcBorders>
              <w:bottom w:val="single" w:sz="4" w:space="0" w:color="000000"/>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运维成本波动率（扣分）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运维成</w:t>
            </w:r>
            <w:r>
              <w:rPr>
                <w:rFonts w:ascii="楷体_GB2312;楷体" w:hAnsi="楷体_GB2312;楷体" w:cs="宋体" w:eastAsia="楷体_GB2312;楷体"/>
                <w:kern w:val="0"/>
                <w:sz w:val="22"/>
              </w:rPr>
              <w:t>本</w:t>
            </w:r>
            <w:r>
              <w:rPr>
                <w:rFonts w:ascii="楷体_GB2312;楷体" w:hAnsi="楷体_GB2312;楷体" w:cs="宋体" w:eastAsia="楷体_GB2312;楷体"/>
                <w:kern w:val="0"/>
                <w:sz w:val="22"/>
              </w:rPr>
              <w:t>波动率</w:t>
            </w:r>
          </w:p>
        </w:tc>
        <w:tc>
          <w:tcPr>
            <w:tcW w:w="1260" w:type="dxa"/>
            <w:tcBorders>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color w:val="FF0000"/>
                <w:kern w:val="0"/>
                <w:sz w:val="22"/>
              </w:rPr>
            </w:pPr>
            <w:r>
              <w:rPr>
                <w:rFonts w:ascii="楷体_GB2312;楷体" w:hAnsi="楷体_GB2312;楷体" w:cs="宋体" w:eastAsia="楷体_GB2312;楷体"/>
                <w:kern w:val="0"/>
                <w:sz w:val="22"/>
              </w:rPr>
              <w:t>网络财务部、运行维护部</w:t>
            </w:r>
          </w:p>
        </w:tc>
      </w:tr>
      <w:tr>
        <w:trPr>
          <w:trHeight w:val="288"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color w:val="FF0000"/>
                <w:kern w:val="0"/>
                <w:sz w:val="22"/>
              </w:rPr>
            </w:pPr>
            <w:r>
              <w:rPr>
                <w:rFonts w:eastAsia="楷体_GB2312;楷体" w:cs="宋体" w:ascii="楷体_GB2312;楷体" w:hAnsi="楷体_GB2312;楷体"/>
                <w:color w:val="FF0000"/>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16</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数据准确性（扣分</w:t>
            </w:r>
            <w:r>
              <w:rPr>
                <w:rFonts w:ascii="楷体_GB2312;楷体" w:hAnsi="楷体_GB2312;楷体" w:cs="宋体" w:eastAsia="楷体_GB2312;楷体"/>
                <w:kern w:val="0"/>
                <w:sz w:val="22"/>
              </w:rPr>
              <w:t>）</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运维成本、工程、资产、审计等数据编报的准确性</w:t>
            </w:r>
          </w:p>
        </w:tc>
        <w:tc>
          <w:tcPr>
            <w:tcW w:w="1260" w:type="dxa"/>
            <w:tcBorders>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网络财务部</w:t>
            </w:r>
          </w:p>
        </w:tc>
      </w:tr>
      <w:tr>
        <w:trPr>
          <w:trHeight w:val="288"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移动、长途交换、业务平台网管数据准确性</w:t>
            </w:r>
          </w:p>
        </w:tc>
        <w:tc>
          <w:tcPr>
            <w:tcW w:w="1260" w:type="dxa"/>
            <w:tcBorders>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运行维护部</w:t>
            </w:r>
          </w:p>
        </w:tc>
      </w:tr>
      <w:tr>
        <w:trPr>
          <w:trHeight w:val="288" w:hRule="atLeast"/>
        </w:trPr>
        <w:tc>
          <w:tcPr>
            <w:tcW w:w="10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tcBorders>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17</w:t>
            </w:r>
          </w:p>
        </w:tc>
        <w:tc>
          <w:tcPr>
            <w:tcW w:w="3060" w:type="dxa"/>
            <w:tcBorders>
              <w:bottom w:val="single" w:sz="4" w:space="0" w:color="000000"/>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共建共享工作情况（扣分）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共建共享工作情况</w:t>
            </w:r>
          </w:p>
        </w:tc>
        <w:tc>
          <w:tcPr>
            <w:tcW w:w="1260" w:type="dxa"/>
            <w:tcBorders>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网络建设部</w:t>
            </w:r>
          </w:p>
        </w:tc>
      </w:tr>
      <w:tr>
        <w:trPr>
          <w:trHeight w:val="288" w:hRule="atLeast"/>
        </w:trPr>
        <w:tc>
          <w:tcPr>
            <w:tcW w:w="1080" w:type="dxa"/>
            <w:vMerge w:val="restart"/>
            <w:tcBorders>
              <w:start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评价类</w:t>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18</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运维成本占资、占收比（不计分）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运维成本占资比</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网络财务部、运行维护部</w:t>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能耗占资比</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运维成本占收比</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能耗占收比</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19</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定额差异率（不计分）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单载频能耗定额差异率</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单机房能耗定额差异率</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单基站维护定额差异率</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固网维护费定额差异率</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20</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投资建设造价（不计分）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eastAsia="楷体_GB2312;楷体" w:cs="宋体" w:ascii="楷体_GB2312;楷体" w:hAnsi="楷体_GB2312;楷体"/>
                <w:kern w:val="0"/>
                <w:sz w:val="22"/>
              </w:rPr>
              <w:t>2G</w:t>
            </w:r>
            <w:r>
              <w:rPr>
                <w:rFonts w:ascii="楷体_GB2312;楷体" w:hAnsi="楷体_GB2312;楷体" w:cs="宋体" w:eastAsia="楷体_GB2312;楷体"/>
                <w:kern w:val="0"/>
                <w:sz w:val="22"/>
              </w:rPr>
              <w:t>专业单载频造价</w:t>
            </w:r>
          </w:p>
        </w:tc>
        <w:tc>
          <w:tcPr>
            <w:tcW w:w="1260" w:type="dxa"/>
            <w:vMerge w:val="restart"/>
            <w:tcBorders>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网络财务部、网络建设部</w:t>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eastAsia="楷体_GB2312;楷体" w:cs="宋体" w:ascii="楷体_GB2312;楷体" w:hAnsi="楷体_GB2312;楷体"/>
                <w:kern w:val="0"/>
                <w:sz w:val="22"/>
              </w:rPr>
              <w:t>3G</w:t>
            </w:r>
            <w:r>
              <w:rPr>
                <w:rFonts w:ascii="楷体_GB2312;楷体" w:hAnsi="楷体_GB2312;楷体" w:cs="宋体" w:eastAsia="楷体_GB2312;楷体"/>
                <w:kern w:val="0"/>
                <w:sz w:val="22"/>
              </w:rPr>
              <w:t>专业单载扇造价</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每端口造价</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交换网每门造价</w:t>
            </w:r>
          </w:p>
        </w:tc>
        <w:tc>
          <w:tcPr>
            <w:tcW w:w="1260" w:type="dxa"/>
            <w:vMerge w:val="continue"/>
            <w:tcBorders>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restart"/>
            <w:tcBorders>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21</w:t>
            </w:r>
          </w:p>
        </w:tc>
        <w:tc>
          <w:tcPr>
            <w:tcW w:w="3060" w:type="dxa"/>
            <w:vMerge w:val="restart"/>
            <w:tcBorders>
              <w:end w:val="single" w:sz="4" w:space="0" w:color="000000"/>
            </w:tcBorders>
            <w:vAlign w:val="center"/>
          </w:tcPr>
          <w:p>
            <w:pPr>
              <w:pStyle w:val="Normal"/>
              <w:widowControl/>
              <w:jc w:val="start"/>
              <w:rPr>
                <w:rFonts w:ascii="楷体_GB2312;楷体" w:hAnsi="楷体_GB2312;楷体" w:eastAsia="楷体_GB2312;楷体" w:cs="宋体"/>
                <w:kern w:val="0"/>
                <w:sz w:val="22"/>
              </w:rPr>
            </w:pPr>
            <w:r>
              <w:rPr>
                <w:rFonts w:ascii="楷体_GB2312;楷体" w:hAnsi="楷体_GB2312;楷体" w:cs="宋体" w:eastAsia="楷体_GB2312;楷体"/>
                <w:kern w:val="0"/>
                <w:sz w:val="22"/>
              </w:rPr>
              <w:t>综合效益（不计分）</w:t>
            </w:r>
          </w:p>
        </w:tc>
        <w:tc>
          <w:tcPr>
            <w:tcW w:w="3240" w:type="dxa"/>
            <w:tcBorders>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投资增收效率</w:t>
            </w:r>
          </w:p>
        </w:tc>
        <w:tc>
          <w:tcPr>
            <w:tcW w:w="1260" w:type="dxa"/>
            <w:vMerge w:val="restart"/>
            <w:tcBorders>
              <w:top w:val="single" w:sz="4" w:space="0" w:color="000000"/>
              <w:start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网络财务部</w:t>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4" w:space="0" w:color="000000"/>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百元网络固定资产创收比</w:t>
            </w:r>
          </w:p>
        </w:tc>
        <w:tc>
          <w:tcPr>
            <w:tcW w:w="1260" w:type="dxa"/>
            <w:vMerge w:val="continue"/>
            <w:tcBorders>
              <w:top w:val="single" w:sz="4" w:space="0" w:color="000000"/>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continue"/>
            <w:tcBorders>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4" w:space="0" w:color="000000"/>
              <w:bottom w:val="single" w:sz="4" w:space="0" w:color="000000"/>
              <w:end w:val="single" w:sz="4" w:space="0" w:color="000000"/>
            </w:tcBorders>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投资线全成本占收比</w:t>
            </w:r>
          </w:p>
        </w:tc>
        <w:tc>
          <w:tcPr>
            <w:tcW w:w="1260" w:type="dxa"/>
            <w:vMerge w:val="continue"/>
            <w:tcBorders>
              <w:top w:val="single" w:sz="4" w:space="0" w:color="000000"/>
              <w:start w:val="single" w:sz="4" w:space="0" w:color="000000"/>
              <w:end w:val="single" w:sz="8"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r>
      <w:tr>
        <w:trPr>
          <w:trHeight w:val="288" w:hRule="atLeast"/>
        </w:trPr>
        <w:tc>
          <w:tcPr>
            <w:tcW w:w="1080" w:type="dxa"/>
            <w:vMerge w:val="restart"/>
            <w:tcBorders>
              <w:top w:val="single" w:sz="4" w:space="0" w:color="000000"/>
              <w:start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重大事项</w:t>
            </w:r>
          </w:p>
        </w:tc>
        <w:tc>
          <w:tcPr>
            <w:tcW w:w="900" w:type="dxa"/>
            <w:vMerge w:val="restart"/>
            <w:tcBorders>
              <w:top w:val="single" w:sz="4" w:space="0" w:color="000000"/>
              <w:end w:val="single" w:sz="4" w:space="0" w:color="000000"/>
            </w:tcBorders>
            <w:vAlign w:val="center"/>
          </w:tcPr>
          <w:p>
            <w:pPr>
              <w:pStyle w:val="Normal"/>
              <w:widowControl/>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t>22</w:t>
            </w:r>
          </w:p>
        </w:tc>
        <w:tc>
          <w:tcPr>
            <w:tcW w:w="3060" w:type="dxa"/>
            <w:vMerge w:val="restart"/>
            <w:tcBorders>
              <w:top w:val="single" w:sz="4" w:space="0" w:color="000000"/>
              <w:end w:val="single" w:sz="4" w:space="0" w:color="000000"/>
            </w:tcBorders>
            <w:vAlign w:val="center"/>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体制改革落实情况（扣分项）</w:t>
            </w:r>
          </w:p>
        </w:tc>
        <w:tc>
          <w:tcPr>
            <w:tcW w:w="3240" w:type="dxa"/>
            <w:tcBorders>
              <w:top w:val="single" w:sz="4" w:space="0" w:color="000000"/>
              <w:bottom w:val="single" w:sz="4" w:space="0" w:color="000000"/>
              <w:end w:val="single" w:sz="4" w:space="0" w:color="000000"/>
            </w:tcBorders>
            <w:vAlign w:val="center"/>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综合人事</w:t>
            </w:r>
          </w:p>
        </w:tc>
        <w:tc>
          <w:tcPr>
            <w:tcW w:w="1260" w:type="dxa"/>
            <w:tcBorders>
              <w:top w:val="single" w:sz="4" w:space="0" w:color="000000"/>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网络综合部</w:t>
            </w:r>
          </w:p>
        </w:tc>
      </w:tr>
      <w:tr>
        <w:trPr>
          <w:trHeight w:val="288" w:hRule="atLeast"/>
        </w:trPr>
        <w:tc>
          <w:tcPr>
            <w:tcW w:w="1080"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top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top w:val="single" w:sz="4" w:space="0" w:color="000000"/>
              <w:end w:val="single" w:sz="4" w:space="0" w:color="000000"/>
            </w:tcBorders>
            <w:vAlign w:val="center"/>
          </w:tcPr>
          <w:p>
            <w:pPr>
              <w:pStyle w:val="Normal"/>
              <w:widowControl/>
              <w:snapToGrid w:val="false"/>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4" w:space="0" w:color="000000"/>
              <w:bottom w:val="single" w:sz="4" w:space="0" w:color="000000"/>
              <w:end w:val="single" w:sz="4" w:space="0" w:color="000000"/>
            </w:tcBorders>
            <w:vAlign w:val="center"/>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财务管理</w:t>
            </w:r>
          </w:p>
        </w:tc>
        <w:tc>
          <w:tcPr>
            <w:tcW w:w="1260" w:type="dxa"/>
            <w:tcBorders>
              <w:top w:val="single" w:sz="4" w:space="0" w:color="000000"/>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网络财务部</w:t>
            </w:r>
          </w:p>
        </w:tc>
      </w:tr>
      <w:tr>
        <w:trPr>
          <w:trHeight w:val="288" w:hRule="atLeast"/>
        </w:trPr>
        <w:tc>
          <w:tcPr>
            <w:tcW w:w="1080"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top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top w:val="single" w:sz="4" w:space="0" w:color="000000"/>
              <w:end w:val="single" w:sz="4" w:space="0" w:color="000000"/>
            </w:tcBorders>
            <w:vAlign w:val="center"/>
          </w:tcPr>
          <w:p>
            <w:pPr>
              <w:pStyle w:val="Normal"/>
              <w:widowControl/>
              <w:snapToGrid w:val="false"/>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4" w:space="0" w:color="000000"/>
              <w:bottom w:val="single" w:sz="4" w:space="0" w:color="000000"/>
              <w:end w:val="single" w:sz="4" w:space="0" w:color="000000"/>
            </w:tcBorders>
            <w:vAlign w:val="center"/>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运行维护</w:t>
            </w:r>
          </w:p>
        </w:tc>
        <w:tc>
          <w:tcPr>
            <w:tcW w:w="1260" w:type="dxa"/>
            <w:tcBorders>
              <w:top w:val="single" w:sz="4" w:space="0" w:color="000000"/>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运行维护部</w:t>
            </w:r>
          </w:p>
        </w:tc>
      </w:tr>
      <w:tr>
        <w:trPr>
          <w:trHeight w:val="288" w:hRule="atLeast"/>
        </w:trPr>
        <w:tc>
          <w:tcPr>
            <w:tcW w:w="1080"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900" w:type="dxa"/>
            <w:vMerge w:val="continue"/>
            <w:tcBorders>
              <w:top w:val="single" w:sz="4" w:space="0" w:color="000000"/>
              <w:end w:val="single" w:sz="4" w:space="0" w:color="000000"/>
            </w:tcBorders>
            <w:vAlign w:val="center"/>
          </w:tcPr>
          <w:p>
            <w:pPr>
              <w:pStyle w:val="Normal"/>
              <w:widowControl/>
              <w:snapToGrid w:val="false"/>
              <w:jc w:val="center"/>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060" w:type="dxa"/>
            <w:vMerge w:val="continue"/>
            <w:tcBorders>
              <w:top w:val="single" w:sz="4" w:space="0" w:color="000000"/>
              <w:end w:val="single" w:sz="4" w:space="0" w:color="000000"/>
            </w:tcBorders>
            <w:vAlign w:val="center"/>
          </w:tcPr>
          <w:p>
            <w:pPr>
              <w:pStyle w:val="Normal"/>
              <w:widowControl/>
              <w:snapToGrid w:val="false"/>
              <w:rPr>
                <w:rFonts w:ascii="楷体_GB2312;楷体" w:hAnsi="楷体_GB2312;楷体" w:eastAsia="楷体_GB2312;楷体" w:cs="宋体"/>
                <w:kern w:val="0"/>
                <w:sz w:val="22"/>
              </w:rPr>
            </w:pPr>
            <w:r>
              <w:rPr>
                <w:rFonts w:eastAsia="楷体_GB2312;楷体" w:cs="宋体" w:ascii="楷体_GB2312;楷体" w:hAnsi="楷体_GB2312;楷体"/>
                <w:kern w:val="0"/>
                <w:sz w:val="22"/>
              </w:rPr>
            </w:r>
          </w:p>
        </w:tc>
        <w:tc>
          <w:tcPr>
            <w:tcW w:w="3240" w:type="dxa"/>
            <w:tcBorders>
              <w:top w:val="single" w:sz="4" w:space="0" w:color="000000"/>
              <w:bottom w:val="single" w:sz="4" w:space="0" w:color="000000"/>
              <w:end w:val="single" w:sz="4" w:space="0" w:color="000000"/>
            </w:tcBorders>
            <w:vAlign w:val="center"/>
          </w:tcPr>
          <w:p>
            <w:pPr>
              <w:pStyle w:val="Normal"/>
              <w:widowControl/>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网络建设</w:t>
            </w:r>
          </w:p>
        </w:tc>
        <w:tc>
          <w:tcPr>
            <w:tcW w:w="1260" w:type="dxa"/>
            <w:tcBorders>
              <w:top w:val="single" w:sz="4" w:space="0" w:color="000000"/>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kern w:val="0"/>
                <w:sz w:val="22"/>
              </w:rPr>
            </w:pPr>
            <w:r>
              <w:rPr>
                <w:rFonts w:ascii="楷体_GB2312;楷体" w:hAnsi="楷体_GB2312;楷体" w:cs="宋体" w:eastAsia="楷体_GB2312;楷体"/>
                <w:kern w:val="0"/>
                <w:sz w:val="22"/>
              </w:rPr>
              <w:t>网络建设部</w:t>
            </w:r>
          </w:p>
        </w:tc>
      </w:tr>
      <w:tr>
        <w:trPr>
          <w:trHeight w:val="288"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color w:val="FF0000"/>
                <w:kern w:val="0"/>
                <w:sz w:val="22"/>
              </w:rPr>
            </w:pPr>
            <w:r>
              <w:rPr>
                <w:rFonts w:ascii="楷体_GB2312;楷体" w:hAnsi="楷体_GB2312;楷体" w:cs="宋体" w:eastAsia="楷体_GB2312;楷体"/>
                <w:color w:val="FF0000"/>
                <w:kern w:val="0"/>
                <w:sz w:val="22"/>
              </w:rPr>
              <w:t>信息报送</w:t>
            </w:r>
          </w:p>
        </w:tc>
        <w:tc>
          <w:tcPr>
            <w:tcW w:w="900" w:type="dxa"/>
            <w:tcBorders>
              <w:top w:val="single" w:sz="4" w:space="0" w:color="000000"/>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color w:val="FF0000"/>
                <w:kern w:val="0"/>
                <w:sz w:val="22"/>
              </w:rPr>
            </w:pPr>
            <w:r>
              <w:rPr>
                <w:rFonts w:eastAsia="楷体_GB2312;楷体" w:cs="宋体" w:ascii="楷体_GB2312;楷体" w:hAnsi="楷体_GB2312;楷体"/>
                <w:color w:val="FF0000"/>
                <w:kern w:val="0"/>
                <w:sz w:val="22"/>
              </w:rPr>
              <w:t>23</w:t>
            </w:r>
          </w:p>
        </w:tc>
        <w:tc>
          <w:tcPr>
            <w:tcW w:w="3060" w:type="dxa"/>
            <w:tcBorders>
              <w:top w:val="single" w:sz="4" w:space="0" w:color="000000"/>
              <w:bottom w:val="single" w:sz="4" w:space="0" w:color="000000"/>
              <w:end w:val="single" w:sz="4" w:space="0" w:color="000000"/>
            </w:tcBorders>
            <w:vAlign w:val="center"/>
          </w:tcPr>
          <w:p>
            <w:pPr>
              <w:pStyle w:val="Normal"/>
              <w:widowControl/>
              <w:jc w:val="center"/>
              <w:rPr>
                <w:rFonts w:ascii="楷体_GB2312;楷体" w:hAnsi="楷体_GB2312;楷体" w:eastAsia="楷体_GB2312;楷体" w:cs="宋体"/>
                <w:color w:val="FF0000"/>
                <w:kern w:val="0"/>
                <w:sz w:val="22"/>
              </w:rPr>
            </w:pPr>
            <w:r>
              <w:rPr>
                <w:rFonts w:ascii="楷体_GB2312;楷体" w:hAnsi="楷体_GB2312;楷体" w:cs="宋体" w:eastAsia="楷体_GB2312;楷体"/>
                <w:color w:val="FF0000"/>
                <w:kern w:val="0"/>
                <w:sz w:val="22"/>
              </w:rPr>
              <w:t>信息工作完成情况（扣分项）</w:t>
            </w:r>
          </w:p>
        </w:tc>
        <w:tc>
          <w:tcPr>
            <w:tcW w:w="3240" w:type="dxa"/>
            <w:tcBorders>
              <w:top w:val="single" w:sz="4" w:space="0" w:color="000000"/>
              <w:bottom w:val="single" w:sz="4" w:space="0" w:color="000000"/>
              <w:end w:val="single" w:sz="4" w:space="0" w:color="000000"/>
            </w:tcBorders>
            <w:vAlign w:val="center"/>
          </w:tcPr>
          <w:p>
            <w:pPr>
              <w:pStyle w:val="Normal"/>
              <w:widowControl/>
              <w:rPr>
                <w:rFonts w:ascii="楷体_GB2312;楷体" w:hAnsi="楷体_GB2312;楷体" w:eastAsia="楷体_GB2312;楷体" w:cs="宋体"/>
                <w:color w:val="FF0000"/>
                <w:kern w:val="0"/>
                <w:sz w:val="22"/>
              </w:rPr>
            </w:pPr>
            <w:r>
              <w:rPr>
                <w:rFonts w:ascii="楷体_GB2312;楷体" w:hAnsi="楷体_GB2312;楷体" w:cs="宋体" w:eastAsia="楷体_GB2312;楷体"/>
                <w:color w:val="FF0000"/>
                <w:kern w:val="0"/>
                <w:sz w:val="22"/>
              </w:rPr>
              <w:t>信息工作完成情况</w:t>
            </w:r>
          </w:p>
        </w:tc>
        <w:tc>
          <w:tcPr>
            <w:tcW w:w="1260" w:type="dxa"/>
            <w:tcBorders>
              <w:top w:val="single" w:sz="4" w:space="0" w:color="000000"/>
              <w:start w:val="single" w:sz="4" w:space="0" w:color="000000"/>
              <w:bottom w:val="single" w:sz="4" w:space="0" w:color="000000"/>
              <w:end w:val="single" w:sz="8" w:space="0" w:color="000000"/>
            </w:tcBorders>
            <w:vAlign w:val="center"/>
          </w:tcPr>
          <w:p>
            <w:pPr>
              <w:pStyle w:val="Normal"/>
              <w:widowControl/>
              <w:jc w:val="center"/>
              <w:rPr>
                <w:rFonts w:ascii="楷体_GB2312;楷体" w:hAnsi="楷体_GB2312;楷体" w:eastAsia="楷体_GB2312;楷体" w:cs="宋体"/>
                <w:color w:val="FF0000"/>
                <w:kern w:val="0"/>
                <w:sz w:val="22"/>
              </w:rPr>
            </w:pPr>
            <w:r>
              <w:rPr>
                <w:rFonts w:ascii="楷体_GB2312;楷体" w:hAnsi="楷体_GB2312;楷体" w:cs="宋体" w:eastAsia="楷体_GB2312;楷体"/>
                <w:color w:val="FF0000"/>
                <w:kern w:val="0"/>
                <w:sz w:val="22"/>
              </w:rPr>
              <w:t>网络公司各部门</w:t>
            </w:r>
          </w:p>
        </w:tc>
      </w:tr>
    </w:tbl>
    <w:p>
      <w:pPr>
        <w:pStyle w:val="Normal"/>
        <w:ind w:firstLine="627"/>
        <w:rPr>
          <w:rFonts w:ascii="仿宋_GB2312;仿宋" w:hAnsi="仿宋_GB2312;仿宋" w:eastAsia="仿宋_GB2312;仿宋"/>
          <w:b/>
          <w:b/>
          <w:bCs/>
          <w:color w:val="000000"/>
          <w:sz w:val="32"/>
          <w:szCs w:val="32"/>
        </w:rPr>
      </w:pPr>
      <w:r>
        <w:rPr>
          <w:rFonts w:ascii="仿宋_GB2312;仿宋" w:hAnsi="仿宋_GB2312;仿宋" w:eastAsia="仿宋_GB2312;仿宋"/>
          <w:sz w:val="32"/>
          <w:szCs w:val="32"/>
        </w:rPr>
        <w:t>网络公司地市分公司绩效考核体系由建设类、财务类、综合类和运维类构成，具体绩效考核指标计分细则见附件</w:t>
      </w:r>
      <w:r>
        <w:rPr>
          <w:rFonts w:eastAsia="仿宋_GB2312;仿宋" w:ascii="仿宋_GB2312;仿宋" w:hAnsi="仿宋_GB2312;仿宋"/>
          <w:sz w:val="32"/>
          <w:szCs w:val="32"/>
        </w:rPr>
        <w:t>2</w:t>
      </w:r>
      <w:r>
        <w:rPr>
          <w:rFonts w:ascii="仿宋_GB2312;仿宋" w:hAnsi="仿宋_GB2312;仿宋" w:eastAsia="仿宋_GB2312;仿宋"/>
          <w:sz w:val="32"/>
          <w:szCs w:val="32"/>
        </w:rPr>
        <w:t>。</w:t>
      </w:r>
    </w:p>
    <w:p>
      <w:pPr>
        <w:pStyle w:val="Normal"/>
        <w:ind w:firstLine="630"/>
        <w:rPr>
          <w:rFonts w:ascii="仿宋_GB2312;仿宋" w:hAnsi="仿宋_GB2312;仿宋" w:eastAsia="仿宋_GB2312;仿宋"/>
          <w:color w:val="000000"/>
          <w:sz w:val="32"/>
          <w:szCs w:val="32"/>
        </w:rPr>
      </w:pPr>
      <w:r>
        <w:rPr>
          <w:rFonts w:ascii="仿宋_GB2312;仿宋" w:hAnsi="仿宋_GB2312;仿宋" w:eastAsia="仿宋_GB2312;仿宋"/>
          <w:b/>
          <w:bCs/>
          <w:color w:val="000000"/>
          <w:sz w:val="32"/>
          <w:szCs w:val="32"/>
        </w:rPr>
        <w:t>第八条</w:t>
      </w:r>
      <w:r>
        <w:rPr>
          <w:rFonts w:ascii="仿宋_GB2312;仿宋" w:hAnsi="仿宋_GB2312;仿宋" w:eastAsia="仿宋_GB2312;仿宋"/>
          <w:color w:val="000000"/>
          <w:sz w:val="32"/>
          <w:szCs w:val="32"/>
        </w:rPr>
        <w:t xml:space="preserve">  计分方法</w:t>
      </w:r>
    </w:p>
    <w:p>
      <w:pPr>
        <w:pStyle w:val="Normal"/>
        <w:ind w:firstLine="645"/>
        <w:rPr>
          <w:rFonts w:ascii="仿宋_GB2312;仿宋" w:hAnsi="仿宋_GB2312;仿宋" w:eastAsia="仿宋_GB2312;仿宋"/>
          <w:sz w:val="32"/>
          <w:szCs w:val="32"/>
        </w:rPr>
      </w:pPr>
      <w:r>
        <w:rPr>
          <w:rFonts w:ascii="仿宋_GB2312;仿宋" w:hAnsi="仿宋_GB2312;仿宋" w:eastAsia="仿宋_GB2312;仿宋"/>
          <w:sz w:val="32"/>
          <w:szCs w:val="32"/>
        </w:rPr>
        <w:t>本办法按百分制计分。</w:t>
      </w:r>
    </w:p>
    <w:p>
      <w:pPr>
        <w:pStyle w:val="Normal"/>
        <w:jc w:val="center"/>
        <w:rPr>
          <w:rFonts w:ascii="仿宋_GB2312;仿宋" w:hAnsi="仿宋_GB2312;仿宋" w:eastAsia="仿宋_GB2312;仿宋"/>
          <w:b/>
          <w:b/>
          <w:color w:val="000000"/>
          <w:sz w:val="32"/>
          <w:szCs w:val="32"/>
        </w:rPr>
      </w:pPr>
      <w:r>
        <w:rPr>
          <w:rFonts w:eastAsia="仿宋_GB2312;仿宋" w:ascii="仿宋_GB2312;仿宋" w:hAnsi="仿宋_GB2312;仿宋"/>
          <w:b/>
          <w:color w:val="000000"/>
          <w:sz w:val="32"/>
          <w:szCs w:val="32"/>
        </w:rPr>
      </w:r>
    </w:p>
    <w:p>
      <w:pPr>
        <w:pStyle w:val="Normal"/>
        <w:jc w:val="center"/>
        <w:rPr>
          <w:rFonts w:ascii="仿宋_GB2312;仿宋" w:hAnsi="仿宋_GB2312;仿宋" w:eastAsia="仿宋_GB2312;仿宋"/>
          <w:color w:val="000000"/>
          <w:sz w:val="32"/>
          <w:szCs w:val="32"/>
        </w:rPr>
      </w:pPr>
      <w:r>
        <w:rPr>
          <w:rFonts w:ascii="仿宋_GB2312;仿宋" w:hAnsi="仿宋_GB2312;仿宋" w:eastAsia="仿宋_GB2312;仿宋"/>
          <w:b/>
          <w:bCs/>
          <w:color w:val="000000"/>
          <w:sz w:val="32"/>
          <w:szCs w:val="32"/>
        </w:rPr>
        <w:t>第五章</w:t>
      </w:r>
      <w:r>
        <w:rPr>
          <w:rFonts w:ascii="仿宋_GB2312;仿宋" w:hAnsi="仿宋_GB2312;仿宋" w:eastAsia="仿宋_GB2312;仿宋"/>
          <w:b/>
          <w:color w:val="000000"/>
          <w:sz w:val="32"/>
          <w:szCs w:val="32"/>
        </w:rPr>
        <w:t xml:space="preserve">  </w:t>
      </w:r>
      <w:r>
        <w:rPr>
          <w:rFonts w:ascii="仿宋_GB2312;仿宋" w:hAnsi="仿宋_GB2312;仿宋" w:eastAsia="仿宋_GB2312;仿宋"/>
          <w:b/>
          <w:bCs/>
          <w:color w:val="000000"/>
          <w:sz w:val="32"/>
          <w:szCs w:val="32"/>
        </w:rPr>
        <w:t>绩效考核结果应用</w:t>
      </w:r>
    </w:p>
    <w:p>
      <w:pPr>
        <w:pStyle w:val="Normal"/>
        <w:jc w:val="start"/>
        <w:rPr>
          <w:rFonts w:ascii="仿宋_GB2312;仿宋" w:hAnsi="仿宋_GB2312;仿宋" w:eastAsia="仿宋_GB2312;仿宋"/>
          <w:sz w:val="32"/>
          <w:szCs w:val="32"/>
        </w:rPr>
      </w:pPr>
      <w:r>
        <w:rPr>
          <w:rFonts w:eastAsia="仿宋_GB2312;仿宋" w:cs="仿宋_GB2312;仿宋" w:ascii="仿宋_GB2312;仿宋" w:hAnsi="仿宋_GB2312;仿宋"/>
          <w:b/>
          <w:bCs/>
          <w:sz w:val="32"/>
          <w:szCs w:val="32"/>
        </w:rPr>
        <w:t xml:space="preserve">     </w:t>
      </w:r>
      <w:r>
        <w:rPr>
          <w:rFonts w:ascii="仿宋_GB2312;仿宋" w:hAnsi="仿宋_GB2312;仿宋" w:eastAsia="仿宋_GB2312;仿宋"/>
          <w:b/>
          <w:bCs/>
          <w:sz w:val="32"/>
          <w:szCs w:val="32"/>
        </w:rPr>
        <w:t>第九条</w:t>
      </w:r>
      <w:r>
        <w:rPr>
          <w:rFonts w:ascii="仿宋_GB2312;仿宋" w:hAnsi="仿宋_GB2312;仿宋" w:eastAsia="仿宋_GB2312;仿宋"/>
          <w:sz w:val="32"/>
          <w:szCs w:val="32"/>
        </w:rPr>
        <w:t xml:space="preserve">  对月度考核结果按月进行通报和排序。</w:t>
      </w:r>
    </w:p>
    <w:p>
      <w:pPr>
        <w:pStyle w:val="Normal"/>
        <w:jc w:val="start"/>
        <w:rPr>
          <w:rFonts w:ascii="仿宋_GB2312;仿宋" w:hAnsi="仿宋_GB2312;仿宋" w:eastAsia="仿宋_GB2312;仿宋"/>
          <w:sz w:val="32"/>
          <w:szCs w:val="32"/>
        </w:rPr>
      </w:pPr>
      <w:r>
        <w:rPr>
          <w:rFonts w:eastAsia="仿宋_GB2312;仿宋" w:cs="仿宋_GB2312;仿宋" w:ascii="仿宋_GB2312;仿宋" w:hAnsi="仿宋_GB2312;仿宋"/>
          <w:b/>
          <w:bCs/>
          <w:sz w:val="32"/>
          <w:szCs w:val="32"/>
        </w:rPr>
        <w:t xml:space="preserve">     </w:t>
      </w:r>
      <w:r>
        <w:rPr>
          <w:rFonts w:ascii="仿宋_GB2312;仿宋" w:hAnsi="仿宋_GB2312;仿宋" w:eastAsia="仿宋_GB2312;仿宋"/>
          <w:b/>
          <w:bCs/>
          <w:sz w:val="32"/>
          <w:szCs w:val="32"/>
        </w:rPr>
        <w:t>第十条</w:t>
      </w:r>
      <w:r>
        <w:rPr>
          <w:rFonts w:ascii="仿宋_GB2312;仿宋" w:hAnsi="仿宋_GB2312;仿宋" w:eastAsia="仿宋_GB2312;仿宋"/>
          <w:sz w:val="32"/>
          <w:szCs w:val="32"/>
        </w:rPr>
        <w:t xml:space="preserve">  依据月度、年度绩效考核结果，对各部门、各地市网络分公司工作进行综合评价、排序，部分考核指标完成较差的需作出专题说明。</w:t>
      </w:r>
    </w:p>
    <w:p>
      <w:pPr>
        <w:pStyle w:val="Normal"/>
        <w:jc w:val="start"/>
        <w:rPr>
          <w:rFonts w:ascii="仿宋_GB2312;仿宋" w:hAnsi="仿宋_GB2312;仿宋" w:eastAsia="仿宋_GB2312;仿宋"/>
          <w:color w:val="FF0000"/>
          <w:sz w:val="32"/>
          <w:szCs w:val="32"/>
        </w:rPr>
      </w:pPr>
      <w:r>
        <w:rPr>
          <w:rFonts w:eastAsia="仿宋_GB2312;仿宋" w:cs="仿宋_GB2312;仿宋" w:ascii="仿宋_GB2312;仿宋" w:hAnsi="仿宋_GB2312;仿宋"/>
          <w:b/>
          <w:bCs/>
          <w:sz w:val="32"/>
          <w:szCs w:val="32"/>
        </w:rPr>
        <w:t xml:space="preserve">    </w:t>
      </w:r>
      <w:r>
        <w:rPr>
          <w:rFonts w:ascii="仿宋_GB2312;仿宋" w:hAnsi="仿宋_GB2312;仿宋" w:eastAsia="仿宋_GB2312;仿宋"/>
          <w:b/>
          <w:bCs/>
          <w:sz w:val="32"/>
          <w:szCs w:val="32"/>
        </w:rPr>
        <w:t>第十一条</w:t>
      </w:r>
      <w:r>
        <w:rPr>
          <w:rFonts w:ascii="仿宋_GB2312;仿宋" w:hAnsi="仿宋_GB2312;仿宋" w:eastAsia="仿宋_GB2312;仿宋"/>
          <w:sz w:val="32"/>
          <w:szCs w:val="32"/>
        </w:rPr>
        <w:t xml:space="preserve">  网络公司各部门、网络公司各地市分公司综合绩效考核得分与其领导班子年度</w:t>
      </w:r>
      <w:r>
        <w:rPr>
          <w:rFonts w:eastAsia="仿宋_GB2312;仿宋" w:ascii="仿宋_GB2312;仿宋" w:hAnsi="仿宋_GB2312;仿宋"/>
          <w:sz w:val="32"/>
          <w:szCs w:val="32"/>
        </w:rPr>
        <w:t>KPI</w:t>
      </w:r>
      <w:r>
        <w:rPr>
          <w:rFonts w:ascii="仿宋_GB2312;仿宋" w:hAnsi="仿宋_GB2312;仿宋" w:eastAsia="仿宋_GB2312;仿宋"/>
          <w:sz w:val="32"/>
          <w:szCs w:val="32"/>
        </w:rPr>
        <w:t>业绩挂钩。</w:t>
      </w:r>
    </w:p>
    <w:p>
      <w:pPr>
        <w:pStyle w:val="Normal"/>
        <w:jc w:val="start"/>
        <w:rPr>
          <w:rFonts w:ascii="仿宋_GB2312;仿宋" w:hAnsi="仿宋_GB2312;仿宋" w:eastAsia="仿宋_GB2312;仿宋"/>
          <w:color w:val="FF0000"/>
          <w:sz w:val="32"/>
          <w:szCs w:val="32"/>
        </w:rPr>
      </w:pPr>
      <w:r>
        <w:rPr>
          <w:rFonts w:eastAsia="仿宋_GB2312;仿宋" w:ascii="仿宋_GB2312;仿宋" w:hAnsi="仿宋_GB2312;仿宋"/>
          <w:color w:val="FF0000"/>
          <w:sz w:val="32"/>
          <w:szCs w:val="32"/>
        </w:rPr>
      </w:r>
    </w:p>
    <w:p>
      <w:pPr>
        <w:pStyle w:val="Normal"/>
        <w:jc w:val="center"/>
        <w:rPr>
          <w:rFonts w:ascii="仿宋_GB2312;仿宋" w:hAnsi="仿宋_GB2312;仿宋" w:eastAsia="仿宋_GB2312;仿宋"/>
          <w:sz w:val="32"/>
          <w:szCs w:val="32"/>
        </w:rPr>
      </w:pPr>
      <w:r>
        <w:rPr>
          <w:rFonts w:ascii="仿宋_GB2312;仿宋" w:hAnsi="仿宋_GB2312;仿宋" w:eastAsia="仿宋_GB2312;仿宋"/>
          <w:b/>
          <w:bCs/>
          <w:sz w:val="32"/>
          <w:szCs w:val="32"/>
        </w:rPr>
        <w:t>第六章   附  则</w:t>
      </w:r>
    </w:p>
    <w:p>
      <w:pPr>
        <w:pStyle w:val="Normal"/>
        <w:jc w:val="start"/>
        <w:rPr>
          <w:rFonts w:ascii="仿宋_GB2312;仿宋" w:hAnsi="仿宋_GB2312;仿宋" w:eastAsia="仿宋_GB2312;仿宋"/>
          <w:sz w:val="32"/>
          <w:szCs w:val="32"/>
        </w:rPr>
      </w:pPr>
      <w:r>
        <w:rPr>
          <w:rFonts w:ascii="仿宋_GB2312;仿宋" w:hAnsi="仿宋_GB2312;仿宋" w:eastAsia="仿宋_GB2312;仿宋"/>
          <w:b/>
          <w:bCs/>
          <w:sz w:val="32"/>
          <w:szCs w:val="32"/>
        </w:rPr>
        <w:t>第十二条</w:t>
      </w:r>
      <w:r>
        <w:rPr>
          <w:rFonts w:ascii="仿宋_GB2312;仿宋" w:hAnsi="仿宋_GB2312;仿宋" w:eastAsia="仿宋_GB2312;仿宋"/>
          <w:sz w:val="32"/>
          <w:szCs w:val="32"/>
        </w:rPr>
        <w:t xml:space="preserve">  本办法由省网络公司综合部负责解释并组织实施，专业指标由专业部门负责解释。</w:t>
      </w:r>
    </w:p>
    <w:p>
      <w:pPr>
        <w:pStyle w:val="Normal"/>
        <w:jc w:val="start"/>
        <w:rPr/>
      </w:pPr>
      <w:r>
        <w:rPr>
          <w:rFonts w:ascii="仿宋_GB2312;仿宋" w:hAnsi="仿宋_GB2312;仿宋" w:eastAsia="仿宋_GB2312;仿宋"/>
          <w:b/>
          <w:bCs/>
          <w:sz w:val="32"/>
          <w:szCs w:val="32"/>
        </w:rPr>
        <w:t>第十三条</w:t>
      </w:r>
      <w:r>
        <w:rPr>
          <w:rFonts w:ascii="仿宋_GB2312;仿宋" w:hAnsi="仿宋_GB2312;仿宋" w:eastAsia="仿宋_GB2312;仿宋"/>
          <w:sz w:val="32"/>
          <w:szCs w:val="32"/>
        </w:rPr>
        <w:t xml:space="preserve">  本办法自</w:t>
      </w:r>
      <w:r>
        <w:rPr>
          <w:rFonts w:eastAsia="仿宋_GB2312;仿宋" w:ascii="仿宋_GB2312;仿宋" w:hAnsi="仿宋_GB2312;仿宋"/>
          <w:sz w:val="32"/>
          <w:szCs w:val="32"/>
        </w:rPr>
        <w:t>201</w:t>
      </w:r>
      <w:r>
        <w:rPr>
          <w:rFonts w:eastAsia="仿宋_GB2312;仿宋" w:ascii="仿宋_GB2312;仿宋" w:hAnsi="仿宋_GB2312;仿宋"/>
          <w:sz w:val="32"/>
          <w:szCs w:val="32"/>
          <w:u w:val="single"/>
          <w:lang w:val="en-US" w:eastAsia="zh-CN"/>
        </w:rPr>
        <w:t xml:space="preserve">    </w:t>
      </w:r>
      <w:r>
        <w:rPr>
          <w:rFonts w:ascii="仿宋_GB2312;仿宋" w:hAnsi="仿宋_GB2312;仿宋" w:eastAsia="仿宋_GB2312;仿宋"/>
          <w:sz w:val="32"/>
          <w:szCs w:val="32"/>
        </w:rPr>
        <w:t>年</w:t>
      </w:r>
      <w:r>
        <w:rPr>
          <w:rFonts w:ascii="仿宋_GB2312;仿宋" w:hAnsi="仿宋_GB2312;仿宋" w:eastAsia="仿宋_GB2312;仿宋"/>
          <w:sz w:val="32"/>
          <w:szCs w:val="32"/>
          <w:u w:val="single"/>
          <w:lang w:val="en-US" w:eastAsia="zh-CN"/>
        </w:rPr>
        <w:t xml:space="preserve">    </w:t>
      </w:r>
      <w:r>
        <w:rPr>
          <w:rFonts w:ascii="仿宋_GB2312;仿宋" w:hAnsi="仿宋_GB2312;仿宋" w:eastAsia="仿宋_GB2312;仿宋"/>
          <w:sz w:val="32"/>
          <w:szCs w:val="32"/>
        </w:rPr>
        <w:t>月</w:t>
      </w:r>
      <w:r>
        <w:rPr>
          <w:rFonts w:ascii="仿宋_GB2312;仿宋" w:hAnsi="仿宋_GB2312;仿宋" w:eastAsia="仿宋_GB2312;仿宋"/>
          <w:sz w:val="32"/>
          <w:szCs w:val="32"/>
          <w:u w:val="single"/>
          <w:lang w:val="en-US" w:eastAsia="zh-CN"/>
        </w:rPr>
        <w:t xml:space="preserve">    </w:t>
      </w:r>
      <w:r>
        <w:rPr>
          <w:rFonts w:ascii="仿宋_GB2312;仿宋" w:hAnsi="仿宋_GB2312;仿宋" w:eastAsia="仿宋_GB2312;仿宋"/>
          <w:sz w:val="32"/>
          <w:szCs w:val="32"/>
        </w:rPr>
        <w:t>日起施行。</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Arial">
    <w:charset w:val="00" w:characterSet="windows-1252"/>
    <w:family w:val="swiss"/>
    <w:pitch w:val="default"/>
  </w:font>
  <w:font w:name="Liberation Sans">
    <w:altName w:val="Arial"/>
    <w:charset w:val="01" w:characterSet="utf-8"/>
    <w:family w:val="swiss"/>
    <w:pitch w:val="variable"/>
  </w:font>
  <w:font w:name="Tahoma">
    <w:charset w:val="00" w:characterSet="windows-1252"/>
    <w:family w:val="swiss"/>
    <w:pitch w:val="default"/>
  </w:font>
  <w:font w:name="宋体">
    <w:charset w:val="86"/>
    <w:family w:val="auto"/>
    <w:pitch w:val="default"/>
  </w:font>
  <w:font w:name="仿宋_GB2312">
    <w:altName w:val="仿宋"/>
    <w:charset w:val="86"/>
    <w:family w:val="modern"/>
    <w:pitch w:val="default"/>
  </w:font>
  <w:font w:name="楷体_GB2312">
    <w:altName w:val="楷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章"/>
      <w:lvlJc w:val="start"/>
      <w:pPr>
        <w:tabs>
          <w:tab w:val="num" w:pos="0"/>
        </w:tabs>
        <w:ind w:start="1290" w:hanging="129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Calibri"/>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rFonts w:ascii="Times New Roman" w:hAnsi="Times New Roman" w:cs="Times New Roman"/>
      <w:b/>
      <w:bCs/>
      <w:kern w:val="2"/>
      <w:sz w:val="44"/>
      <w:szCs w:val="44"/>
    </w:rPr>
  </w:style>
  <w:style w:type="paragraph" w:styleId="Heading3">
    <w:name w:val="Heading 3"/>
    <w:basedOn w:val="Normal"/>
    <w:next w:val="Normal"/>
    <w:qFormat/>
    <w:pPr>
      <w:keepNext w:val="true"/>
      <w:keepLines/>
      <w:numPr>
        <w:ilvl w:val="2"/>
        <w:numId w:val="1"/>
      </w:numPr>
      <w:spacing w:lineRule="auto" w:line="415" w:before="260" w:after="260"/>
      <w:outlineLvl w:val="2"/>
    </w:pPr>
    <w:rPr>
      <w:rFonts w:ascii="Times New Roman" w:hAnsi="Times New Roman" w:cs="Times New Roman"/>
      <w:b/>
      <w:bCs/>
      <w:sz w:val="32"/>
      <w:szCs w:val="32"/>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Arial" w:hAnsi="Arial" w:eastAsia="黑体" w:cs="Arial"/>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rFonts w:ascii="Times New Roman" w:hAnsi="Times New Roman" w:cs="Times New Roman"/>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0">
    <w:name w:val="默认段落字体"/>
    <w:qFormat/>
    <w:rPr/>
  </w:style>
  <w:style w:type="character" w:styleId="PageNumber">
    <w:name w:val="Page Number"/>
    <w:basedOn w:val="Style10"/>
    <w:rPr/>
  </w:style>
  <w:style w:type="character" w:styleId="InternetLink">
    <w:name w:val="Hyperlink"/>
    <w:basedOn w:val="Style10"/>
    <w:rPr>
      <w:color w:val="0000FF"/>
      <w:u w:val="single"/>
    </w:rPr>
  </w:style>
  <w:style w:type="character" w:styleId="Dash521751fa6bb5843dchar1">
    <w:name w:val="dash5217_51fa_6bb5_843d__char1"/>
    <w:basedOn w:val="Style10"/>
    <w:qFormat/>
    <w:rPr>
      <w:rFonts w:ascii="Calibri" w:hAnsi="Calibri" w:cs="Calibri"/>
      <w:strike w:val="false"/>
      <w:dstrike w:val="false"/>
      <w:sz w:val="20"/>
      <w:szCs w:val="20"/>
      <w:u w:val="none"/>
    </w:rPr>
  </w:style>
  <w:style w:type="character" w:styleId="Heading3Char">
    <w:name w:val="Heading 3 Char"/>
    <w:basedOn w:val="Style10"/>
    <w:qFormat/>
    <w:rPr>
      <w:rFonts w:eastAsia="宋体"/>
      <w:b/>
      <w:bCs/>
      <w:kern w:val="2"/>
      <w:sz w:val="32"/>
      <w:szCs w:val="32"/>
      <w:lang w:val="en-US" w:eastAsia="zh-CN" w:bidi="ar-SA"/>
    </w:rPr>
  </w:style>
  <w:style w:type="character" w:styleId="CharChar1">
    <w:name w:val=" Char Char1"/>
    <w:basedOn w:val="Style10"/>
    <w:qFormat/>
    <w:rPr>
      <w:rFonts w:eastAsia="宋体"/>
      <w:kern w:val="2"/>
      <w:sz w:val="18"/>
      <w:szCs w:val="18"/>
      <w:lang w:val="en-US" w:eastAsia="zh-CN" w:bidi="ar-SA"/>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Dash521751fa6bb5843d">
    <w:name w:val="dash5217_51fa_6bb5_843d"/>
    <w:basedOn w:val="Normal"/>
    <w:qFormat/>
    <w:pPr>
      <w:widowControl/>
      <w:ind w:firstLine="420"/>
    </w:pPr>
    <w:rPr>
      <w:rFonts w:cs="宋体"/>
      <w:kern w:val="0"/>
      <w:sz w:val="20"/>
      <w:szCs w:val="20"/>
    </w:rPr>
  </w:style>
  <w:style w:type="paragraph" w:styleId="Style11">
    <w:name w:val="文档结构图"/>
    <w:basedOn w:val="Normal"/>
    <w:qFormat/>
    <w:pPr>
      <w:shd w:fill="000080" w:val="clear"/>
    </w:pPr>
    <w:rPr>
      <w:rFonts w:ascii="Times New Roman" w:hAnsi="Times New Roman" w:cs="Times New Roman"/>
      <w:szCs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rFonts w:ascii="Times New Roman" w:hAnsi="Times New Roman" w:cs="Times New Roman"/>
      <w:sz w:val="18"/>
      <w:szCs w:val="18"/>
    </w:rPr>
  </w:style>
  <w:style w:type="paragraph" w:styleId="Style12">
    <w:name w:val="列出段落"/>
    <w:basedOn w:val="Normal"/>
    <w:qFormat/>
    <w:pPr>
      <w:ind w:firstLine="420"/>
    </w:pPr>
    <w:rPr>
      <w:rFonts w:ascii="Times New Roman" w:hAnsi="Times New Roman" w:cs="Times New Roman"/>
      <w:szCs w:val="24"/>
    </w:rPr>
  </w:style>
  <w:style w:type="paragraph" w:styleId="ListParagraph">
    <w:name w:val="List Paragraph"/>
    <w:basedOn w:val="Normal"/>
    <w:qFormat/>
    <w:pPr>
      <w:ind w:firstLine="420"/>
    </w:pPr>
    <w:rPr>
      <w:rFonts w:ascii="Times New Roman" w:hAnsi="Times New Roman" w:cs="Times New Roman"/>
      <w:szCs w:val="24"/>
    </w:rPr>
  </w:style>
  <w:style w:type="paragraph" w:styleId="Char">
    <w:name w:val=" Char"/>
    <w:basedOn w:val="Style11"/>
    <w:qFormat/>
    <w:pPr>
      <w:shd w:fill="000080" w:val="clear"/>
    </w:pPr>
    <w:rPr>
      <w:rFonts w:ascii="Tahoma" w:hAnsi="Tahoma" w:cs="Tahoma"/>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2012-04-21T11:15:00Z</dcterms:created>
  <dc:creator>CN=党金玲/OU=dangjl3/O=XZ.Unicom</dc:creator>
  <dc:description/>
  <dc:language>en-US</dc:language>
  <cp:lastModifiedBy>asus-pc</cp:lastModifiedBy>
  <cp:lastPrinted>2012-03-21T10:16:00Z</cp:lastPrinted>
  <dcterms:modified xsi:type="dcterms:W3CDTF">2015-12-08T10:27:57Z</dcterms:modified>
  <cp:revision>2</cp:revision>
  <dc:subject/>
  <dc:title>网络公司XX分公司2012年绩效考核办法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