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楷体_GB2312" w:hAnsi="楷体_GB2312" w:eastAsia="楷体_GB2312"/>
          <w:b/>
          <w:b/>
          <w:sz w:val="36"/>
          <w:szCs w:val="36"/>
        </w:rPr>
      </w:pPr>
      <w:r>
        <w:rPr>
          <w:rFonts w:ascii="楷体_GB2312" w:hAnsi="楷体_GB2312" w:eastAsia="楷体_GB2312"/>
          <w:b/>
          <w:sz w:val="36"/>
          <w:szCs w:val="36"/>
        </w:rPr>
        <w:t>某省电力公司全员绩效考核办法（试行）</w:t>
      </w:r>
    </w:p>
    <w:p>
      <w:pPr>
        <w:pStyle w:val="Normal"/>
        <w:rPr>
          <w:rFonts w:ascii="楷体_GB2312" w:hAnsi="楷体_GB2312" w:eastAsia="楷体_GB2312"/>
          <w:b/>
          <w:b/>
          <w:sz w:val="28"/>
          <w:szCs w:val="28"/>
        </w:rPr>
      </w:pPr>
      <w:r>
        <w:rPr>
          <w:rFonts w:eastAsia="楷体_GB2312" w:ascii="楷体_GB2312" w:hAnsi="楷体_GB2312"/>
          <w:b/>
          <w:sz w:val="28"/>
          <w:szCs w:val="28"/>
        </w:rPr>
      </w:r>
    </w:p>
    <w:p>
      <w:pPr>
        <w:pStyle w:val="Normal"/>
        <w:jc w:val="center"/>
        <w:rPr/>
      </w:pPr>
      <w:r>
        <w:rPr>
          <w:rFonts w:ascii="楷体_GB2312" w:hAnsi="楷体_GB2312" w:eastAsia="楷体_GB2312"/>
          <w:b/>
          <w:sz w:val="30"/>
          <w:szCs w:val="30"/>
        </w:rPr>
        <w:t>第一章  总  则</w:t>
      </w:r>
    </w:p>
    <w:p>
      <w:pPr>
        <w:pStyle w:val="Normal"/>
        <w:rPr/>
      </w:pPr>
      <w:r>
        <w:rPr>
          <w:rFonts w:eastAsia="楷体_GB2312" w:cs="楷体_GB2312" w:ascii="楷体_GB2312" w:hAnsi="楷体_GB2312"/>
          <w:b/>
          <w:sz w:val="30"/>
          <w:szCs w:val="30"/>
        </w:rPr>
        <w:t xml:space="preserve">    </w:t>
      </w:r>
      <w:r>
        <w:rPr>
          <w:rFonts w:ascii="楷体_GB2312" w:hAnsi="楷体_GB2312" w:eastAsia="楷体_GB2312"/>
          <w:b/>
          <w:sz w:val="30"/>
          <w:szCs w:val="30"/>
        </w:rPr>
        <w:t>第一条   按照国家电网公司开展全员绩效考核的要求，建立有效激励与约束机制，充分调动企业员工的工作积极性和主动性，客观准确地评价员工工作绩效，激发员工潜能，实现“一强三优”现代化公司的发展目标，特制定本办法。</w:t>
      </w:r>
    </w:p>
    <w:p>
      <w:pPr>
        <w:pStyle w:val="Normal"/>
        <w:rPr/>
      </w:pPr>
      <w:r>
        <w:rPr>
          <w:rFonts w:eastAsia="楷体_GB2312" w:cs="楷体_GB2312" w:ascii="楷体_GB2312" w:hAnsi="楷体_GB2312"/>
          <w:b/>
          <w:sz w:val="30"/>
          <w:szCs w:val="30"/>
        </w:rPr>
        <w:t xml:space="preserve">    </w:t>
      </w:r>
      <w:r>
        <w:rPr>
          <w:rFonts w:ascii="楷体_GB2312" w:hAnsi="楷体_GB2312" w:eastAsia="楷体_GB2312"/>
          <w:b/>
          <w:sz w:val="30"/>
          <w:szCs w:val="30"/>
        </w:rPr>
        <w:t>第二条   公司全员绩效考核是指某省电力公司以公司发展目标为导向，通过对目标的分解，使公司所属单位</w:t>
      </w:r>
      <w:r>
        <w:rPr>
          <w:rFonts w:eastAsia="楷体_GB2312" w:ascii="楷体_GB2312" w:hAnsi="楷体_GB2312"/>
          <w:b/>
          <w:sz w:val="30"/>
          <w:szCs w:val="30"/>
        </w:rPr>
        <w:t>(</w:t>
      </w:r>
      <w:r>
        <w:rPr>
          <w:rFonts w:ascii="楷体_GB2312" w:hAnsi="楷体_GB2312" w:eastAsia="楷体_GB2312"/>
          <w:b/>
          <w:sz w:val="30"/>
          <w:szCs w:val="30"/>
        </w:rPr>
        <w:t>含公司本部</w:t>
      </w:r>
      <w:r>
        <w:rPr>
          <w:rFonts w:eastAsia="楷体_GB2312" w:ascii="楷体_GB2312" w:hAnsi="楷体_GB2312"/>
          <w:b/>
          <w:sz w:val="30"/>
          <w:szCs w:val="30"/>
        </w:rPr>
        <w:t>)</w:t>
      </w:r>
      <w:r>
        <w:rPr>
          <w:rFonts w:ascii="楷体_GB2312" w:hAnsi="楷体_GB2312" w:eastAsia="楷体_GB2312"/>
          <w:b/>
          <w:sz w:val="30"/>
          <w:szCs w:val="30"/>
        </w:rPr>
        <w:t>、部门</w:t>
      </w:r>
      <w:r>
        <w:rPr>
          <w:rFonts w:eastAsia="楷体_GB2312" w:ascii="楷体_GB2312" w:hAnsi="楷体_GB2312"/>
          <w:b/>
          <w:sz w:val="30"/>
          <w:szCs w:val="30"/>
        </w:rPr>
        <w:t>(</w:t>
      </w:r>
      <w:r>
        <w:rPr>
          <w:rFonts w:ascii="楷体_GB2312" w:hAnsi="楷体_GB2312" w:eastAsia="楷体_GB2312"/>
          <w:b/>
          <w:sz w:val="30"/>
          <w:szCs w:val="30"/>
        </w:rPr>
        <w:t>含分公司，下同</w:t>
      </w:r>
      <w:r>
        <w:rPr>
          <w:rFonts w:eastAsia="楷体_GB2312" w:ascii="楷体_GB2312" w:hAnsi="楷体_GB2312"/>
          <w:b/>
          <w:sz w:val="30"/>
          <w:szCs w:val="30"/>
        </w:rPr>
        <w:t>)</w:t>
      </w:r>
      <w:r>
        <w:rPr>
          <w:rFonts w:ascii="楷体_GB2312" w:hAnsi="楷体_GB2312" w:eastAsia="楷体_GB2312"/>
          <w:b/>
          <w:sz w:val="30"/>
          <w:szCs w:val="30"/>
        </w:rPr>
        <w:t>、管理者、员工在工作目标、任务要求以及努力方向上达成共识，并根据一定的考核标准和方法进行检查和评价，激励部门与员工持续改进工作绩效，最终实现公司持续发展的一种管理方法。</w:t>
      </w:r>
    </w:p>
    <w:p>
      <w:pPr>
        <w:pStyle w:val="Normal"/>
        <w:rPr/>
      </w:pPr>
      <w:r>
        <w:rPr>
          <w:rFonts w:eastAsia="楷体_GB2312" w:cs="楷体_GB2312" w:ascii="楷体_GB2312" w:hAnsi="楷体_GB2312"/>
          <w:b/>
          <w:sz w:val="30"/>
          <w:szCs w:val="30"/>
        </w:rPr>
        <w:t xml:space="preserve">    </w:t>
      </w:r>
      <w:r>
        <w:rPr>
          <w:rFonts w:ascii="楷体_GB2312" w:hAnsi="楷体_GB2312" w:eastAsia="楷体_GB2312"/>
          <w:b/>
          <w:sz w:val="30"/>
          <w:szCs w:val="30"/>
        </w:rPr>
        <w:t xml:space="preserve">第三条   </w:t>
      </w:r>
      <w:r>
        <w:rPr>
          <w:rFonts w:ascii="楷体_GB2312" w:hAnsi="楷体_GB2312" w:eastAsia="楷体_GB2312"/>
          <w:b/>
          <w:sz w:val="30"/>
          <w:szCs w:val="30"/>
          <w:u w:val="single"/>
        </w:rPr>
        <w:t>公司系统通过实行全员绩效考核制度的目的是为优化人力资源配置、薪酬分配、教育培训、员工职业生涯发展规划等提供依据；激励与约束全员不断改进绩效，提升公司整体绩效，实现员工、部门、所属各单位、公司的共同发展。</w:t>
      </w:r>
    </w:p>
    <w:p>
      <w:pPr>
        <w:pStyle w:val="Normal"/>
        <w:rPr>
          <w:rFonts w:ascii="楷体_GB2312" w:hAnsi="楷体_GB2312" w:eastAsia="楷体_GB2312"/>
          <w:b/>
          <w:b/>
          <w:sz w:val="30"/>
          <w:szCs w:val="30"/>
          <w:u w:val="single"/>
        </w:rPr>
      </w:pPr>
      <w:r>
        <w:rPr>
          <w:rFonts w:eastAsia="楷体_GB2312" w:ascii="楷体_GB2312" w:hAnsi="楷体_GB2312"/>
          <w:b/>
          <w:sz w:val="30"/>
          <w:szCs w:val="30"/>
          <w:u w:val="single"/>
        </w:rPr>
      </w:r>
    </w:p>
    <w:p>
      <w:pPr>
        <w:pStyle w:val="Normal"/>
        <w:jc w:val="center"/>
        <w:rPr/>
      </w:pPr>
      <w:r>
        <w:rPr>
          <w:rFonts w:ascii="楷体_GB2312" w:hAnsi="楷体_GB2312" w:eastAsia="楷体_GB2312"/>
          <w:b/>
          <w:sz w:val="30"/>
          <w:szCs w:val="30"/>
        </w:rPr>
        <w:t>第二章  考核内容</w:t>
      </w:r>
    </w:p>
    <w:p>
      <w:pPr>
        <w:pStyle w:val="Normal"/>
        <w:ind w:firstLine="617"/>
        <w:rPr/>
      </w:pPr>
      <w:r>
        <w:rPr>
          <w:rFonts w:ascii="楷体_GB2312" w:hAnsi="楷体_GB2312" w:eastAsia="楷体_GB2312"/>
          <w:b/>
          <w:sz w:val="30"/>
          <w:szCs w:val="30"/>
        </w:rPr>
        <w:t>第四条   绩效考核分企业负责人业绩考核、部门考核、班站考核和员工考核。</w:t>
      </w:r>
    </w:p>
    <w:p>
      <w:pPr>
        <w:pStyle w:val="Normal"/>
        <w:ind w:firstLine="435"/>
        <w:rPr/>
      </w:pPr>
      <w:r>
        <w:rPr>
          <w:rFonts w:eastAsia="楷体_GB2312" w:cs="楷体_GB2312" w:ascii="楷体_GB2312" w:hAnsi="楷体_GB2312"/>
          <w:b/>
          <w:sz w:val="30"/>
          <w:szCs w:val="30"/>
        </w:rPr>
        <w:t xml:space="preserve"> </w:t>
      </w:r>
      <w:r>
        <w:rPr>
          <w:rFonts w:ascii="楷体_GB2312" w:hAnsi="楷体_GB2312" w:eastAsia="楷体_GB2312"/>
          <w:b/>
          <w:sz w:val="30"/>
          <w:szCs w:val="30"/>
        </w:rPr>
        <w:t>第五条   企业负责人业绩考核按《某省电力公司企业负责人年度业绩考核管理》执行。</w:t>
      </w:r>
    </w:p>
    <w:p>
      <w:pPr>
        <w:pStyle w:val="Normal"/>
        <w:ind w:firstLine="435"/>
        <w:rPr/>
      </w:pPr>
      <w:r>
        <w:rPr>
          <w:rFonts w:eastAsia="楷体_GB2312" w:cs="楷体_GB2312" w:ascii="楷体_GB2312" w:hAnsi="楷体_GB2312"/>
          <w:b/>
          <w:sz w:val="30"/>
          <w:szCs w:val="30"/>
        </w:rPr>
        <w:t xml:space="preserve"> </w:t>
      </w:r>
      <w:r>
        <w:rPr>
          <w:rFonts w:ascii="楷体_GB2312" w:hAnsi="楷体_GB2312" w:eastAsia="楷体_GB2312"/>
          <w:b/>
          <w:sz w:val="30"/>
          <w:szCs w:val="30"/>
        </w:rPr>
        <w:t>第六条  部门</w:t>
      </w:r>
      <w:r>
        <w:rPr>
          <w:rFonts w:eastAsia="楷体_GB2312" w:ascii="楷体_GB2312" w:hAnsi="楷体_GB2312"/>
          <w:b/>
          <w:sz w:val="30"/>
          <w:szCs w:val="30"/>
        </w:rPr>
        <w:t>(</w:t>
      </w:r>
      <w:r>
        <w:rPr>
          <w:rFonts w:ascii="楷体_GB2312" w:hAnsi="楷体_GB2312" w:eastAsia="楷体_GB2312"/>
          <w:b/>
          <w:sz w:val="30"/>
          <w:szCs w:val="30"/>
        </w:rPr>
        <w:t>班站</w:t>
      </w:r>
      <w:r>
        <w:rPr>
          <w:rFonts w:eastAsia="楷体_GB2312" w:ascii="楷体_GB2312" w:hAnsi="楷体_GB2312"/>
          <w:b/>
          <w:sz w:val="30"/>
          <w:szCs w:val="30"/>
        </w:rPr>
        <w:t>)</w:t>
      </w:r>
      <w:r>
        <w:rPr>
          <w:rFonts w:ascii="楷体_GB2312" w:hAnsi="楷体_GB2312" w:eastAsia="楷体_GB2312"/>
          <w:b/>
          <w:sz w:val="30"/>
          <w:szCs w:val="30"/>
        </w:rPr>
        <w:t>考核以工作业绩为考核内容；</w:t>
      </w:r>
      <w:r>
        <w:rPr>
          <w:rFonts w:ascii="楷体_GB2312" w:hAnsi="楷体_GB2312" w:eastAsia="楷体_GB2312"/>
          <w:b/>
          <w:sz w:val="30"/>
          <w:szCs w:val="30"/>
          <w:u w:val="single"/>
        </w:rPr>
        <w:t>员工绩效考核内容主要包括工作业绩考核、工作能力考核和工作态度考核三个方面。</w:t>
      </w:r>
      <w:r>
        <w:rPr>
          <w:rFonts w:ascii="楷体_GB2312" w:hAnsi="楷体_GB2312" w:eastAsia="楷体_GB2312"/>
          <w:b/>
          <w:sz w:val="30"/>
          <w:szCs w:val="30"/>
        </w:rPr>
        <w:t>其中，部门</w:t>
      </w:r>
      <w:r>
        <w:rPr>
          <w:rFonts w:eastAsia="楷体_GB2312" w:ascii="楷体_GB2312" w:hAnsi="楷体_GB2312"/>
          <w:b/>
          <w:sz w:val="30"/>
          <w:szCs w:val="30"/>
        </w:rPr>
        <w:t>(</w:t>
      </w:r>
      <w:r>
        <w:rPr>
          <w:rFonts w:ascii="楷体_GB2312" w:hAnsi="楷体_GB2312" w:eastAsia="楷体_GB2312"/>
          <w:b/>
          <w:sz w:val="30"/>
          <w:szCs w:val="30"/>
        </w:rPr>
        <w:t>班站</w:t>
      </w:r>
      <w:r>
        <w:rPr>
          <w:rFonts w:eastAsia="楷体_GB2312" w:ascii="楷体_GB2312" w:hAnsi="楷体_GB2312"/>
          <w:b/>
          <w:sz w:val="30"/>
          <w:szCs w:val="30"/>
        </w:rPr>
        <w:t>)</w:t>
      </w:r>
      <w:r>
        <w:rPr>
          <w:rFonts w:ascii="楷体_GB2312" w:hAnsi="楷体_GB2312" w:eastAsia="楷体_GB2312"/>
          <w:b/>
          <w:sz w:val="30"/>
          <w:szCs w:val="30"/>
        </w:rPr>
        <w:t>正职的工作业绩与其所在的部门</w:t>
      </w:r>
      <w:r>
        <w:rPr>
          <w:rFonts w:eastAsia="楷体_GB2312" w:ascii="楷体_GB2312" w:hAnsi="楷体_GB2312"/>
          <w:b/>
          <w:sz w:val="30"/>
          <w:szCs w:val="30"/>
        </w:rPr>
        <w:t>(</w:t>
      </w:r>
      <w:r>
        <w:rPr>
          <w:rFonts w:ascii="楷体_GB2312" w:hAnsi="楷体_GB2312" w:eastAsia="楷体_GB2312"/>
          <w:b/>
          <w:sz w:val="30"/>
          <w:szCs w:val="30"/>
        </w:rPr>
        <w:t>班站</w:t>
      </w:r>
      <w:r>
        <w:rPr>
          <w:rFonts w:eastAsia="楷体_GB2312" w:ascii="楷体_GB2312" w:hAnsi="楷体_GB2312"/>
          <w:b/>
          <w:sz w:val="30"/>
          <w:szCs w:val="30"/>
        </w:rPr>
        <w:t>)</w:t>
      </w:r>
      <w:r>
        <w:rPr>
          <w:rFonts w:ascii="楷体_GB2312" w:hAnsi="楷体_GB2312" w:eastAsia="楷体_GB2312"/>
          <w:b/>
          <w:sz w:val="30"/>
          <w:szCs w:val="30"/>
        </w:rPr>
        <w:t>的工作业绩一致。</w:t>
      </w:r>
    </w:p>
    <w:p>
      <w:pPr>
        <w:pStyle w:val="Normal"/>
        <w:ind w:firstLine="435"/>
        <w:rPr>
          <w:rFonts w:ascii="楷体_GB2312" w:hAnsi="楷体_GB2312" w:eastAsia="楷体_GB2312"/>
          <w:b/>
          <w:b/>
          <w:sz w:val="30"/>
          <w:szCs w:val="30"/>
        </w:rPr>
      </w:pPr>
      <w:r>
        <w:rPr>
          <w:rFonts w:eastAsia="楷体_GB2312" w:cs="楷体_GB2312" w:ascii="楷体_GB2312" w:hAnsi="楷体_GB2312"/>
          <w:b/>
          <w:sz w:val="30"/>
          <w:szCs w:val="30"/>
        </w:rPr>
        <w:t xml:space="preserve"> </w:t>
      </w:r>
      <w:r>
        <w:rPr>
          <w:rFonts w:ascii="楷体_GB2312" w:hAnsi="楷体_GB2312" w:eastAsia="楷体_GB2312"/>
          <w:b/>
          <w:sz w:val="30"/>
          <w:szCs w:val="30"/>
        </w:rPr>
        <w:t>第七条  绩效考核内容针对不同层次、不同职位的人员有不同要求，主要有以下内容：</w:t>
      </w:r>
    </w:p>
    <w:p>
      <w:pPr>
        <w:pStyle w:val="Normal"/>
        <w:ind w:firstLine="435"/>
        <w:rPr/>
      </w:pPr>
      <w:r>
        <w:rPr>
          <w:rFonts w:eastAsia="楷体_GB2312" w:cs="楷体_GB2312" w:ascii="楷体_GB2312" w:hAnsi="楷体_GB2312"/>
          <w:b/>
          <w:sz w:val="30"/>
          <w:szCs w:val="30"/>
        </w:rPr>
        <w:t xml:space="preserve"> </w:t>
      </w:r>
      <w:r>
        <w:rPr>
          <w:rFonts w:eastAsia="楷体_GB2312" w:ascii="楷体_GB2312" w:hAnsi="楷体_GB2312"/>
          <w:b/>
          <w:sz w:val="30"/>
          <w:szCs w:val="30"/>
        </w:rPr>
        <w:t>(</w:t>
      </w:r>
      <w:r>
        <w:rPr>
          <w:rFonts w:ascii="楷体_GB2312" w:hAnsi="楷体_GB2312" w:eastAsia="楷体_GB2312"/>
          <w:b/>
          <w:sz w:val="30"/>
          <w:szCs w:val="30"/>
        </w:rPr>
        <w:t>一</w:t>
      </w:r>
      <w:r>
        <w:rPr>
          <w:rFonts w:eastAsia="楷体_GB2312" w:ascii="楷体_GB2312" w:hAnsi="楷体_GB2312"/>
          <w:b/>
          <w:sz w:val="30"/>
          <w:szCs w:val="30"/>
        </w:rPr>
        <w:t>)</w:t>
      </w:r>
      <w:r>
        <w:rPr>
          <w:rFonts w:ascii="楷体_GB2312" w:hAnsi="楷体_GB2312" w:eastAsia="楷体_GB2312"/>
          <w:b/>
          <w:sz w:val="30"/>
          <w:szCs w:val="30"/>
        </w:rPr>
        <w:t>工作业绩是指完成工作目标的程度，包括完成工作目标的</w:t>
      </w:r>
      <w:r>
        <w:rPr>
          <w:rFonts w:ascii="楷体_GB2312" w:hAnsi="楷体_GB2312" w:eastAsia="楷体_GB2312"/>
          <w:b/>
          <w:sz w:val="30"/>
          <w:szCs w:val="30"/>
          <w:u w:val="single"/>
        </w:rPr>
        <w:t>数量、质量、效率</w:t>
      </w:r>
      <w:r>
        <w:rPr>
          <w:rFonts w:ascii="楷体_GB2312" w:hAnsi="楷体_GB2312" w:eastAsia="楷体_GB2312"/>
          <w:b/>
          <w:sz w:val="30"/>
          <w:szCs w:val="30"/>
        </w:rPr>
        <w:t>以及</w:t>
      </w:r>
      <w:r>
        <w:rPr>
          <w:rFonts w:ascii="楷体_GB2312" w:hAnsi="楷体_GB2312" w:eastAsia="楷体_GB2312"/>
          <w:b/>
          <w:sz w:val="30"/>
          <w:szCs w:val="30"/>
          <w:u w:val="single"/>
        </w:rPr>
        <w:t>对企业、部门、班站目标的贡献程度</w:t>
      </w:r>
      <w:r>
        <w:rPr>
          <w:rFonts w:ascii="楷体_GB2312" w:hAnsi="楷体_GB2312" w:eastAsia="楷体_GB2312"/>
          <w:b/>
          <w:sz w:val="30"/>
          <w:szCs w:val="30"/>
        </w:rPr>
        <w:t>等。其权重一般为</w:t>
      </w:r>
      <w:r>
        <w:rPr>
          <w:rFonts w:eastAsia="楷体_GB2312" w:ascii="楷体_GB2312" w:hAnsi="楷体_GB2312"/>
          <w:b/>
          <w:sz w:val="30"/>
          <w:szCs w:val="30"/>
        </w:rPr>
        <w:t>75</w:t>
      </w:r>
      <w:r>
        <w:rPr>
          <w:rFonts w:ascii="楷体_GB2312" w:hAnsi="楷体_GB2312" w:eastAsia="楷体_GB2312"/>
          <w:b/>
          <w:sz w:val="30"/>
          <w:szCs w:val="30"/>
        </w:rPr>
        <w:t>％。</w:t>
      </w:r>
    </w:p>
    <w:p>
      <w:pPr>
        <w:pStyle w:val="Normal"/>
        <w:ind w:firstLine="435"/>
        <w:rPr/>
      </w:pPr>
      <w:r>
        <w:rPr>
          <w:rFonts w:eastAsia="楷体_GB2312" w:cs="楷体_GB2312" w:ascii="楷体_GB2312" w:hAnsi="楷体_GB2312"/>
          <w:b/>
          <w:sz w:val="30"/>
          <w:szCs w:val="30"/>
        </w:rPr>
        <w:t xml:space="preserve"> </w:t>
      </w:r>
      <w:r>
        <w:rPr>
          <w:rFonts w:eastAsia="楷体_GB2312" w:ascii="楷体_GB2312" w:hAnsi="楷体_GB2312"/>
          <w:b/>
          <w:sz w:val="30"/>
          <w:szCs w:val="30"/>
        </w:rPr>
        <w:t>(</w:t>
      </w:r>
      <w:r>
        <w:rPr>
          <w:rFonts w:ascii="楷体_GB2312" w:hAnsi="楷体_GB2312" w:eastAsia="楷体_GB2312"/>
          <w:b/>
          <w:sz w:val="30"/>
          <w:szCs w:val="30"/>
        </w:rPr>
        <w:t>二</w:t>
      </w:r>
      <w:r>
        <w:rPr>
          <w:rFonts w:eastAsia="楷体_GB2312" w:ascii="楷体_GB2312" w:hAnsi="楷体_GB2312"/>
          <w:b/>
          <w:sz w:val="30"/>
          <w:szCs w:val="30"/>
        </w:rPr>
        <w:t>)</w:t>
      </w:r>
      <w:r>
        <w:rPr>
          <w:rFonts w:ascii="楷体_GB2312" w:hAnsi="楷体_GB2312" w:eastAsia="楷体_GB2312"/>
          <w:b/>
          <w:sz w:val="30"/>
          <w:szCs w:val="30"/>
        </w:rPr>
        <w:t>工作能力是指胜任本职工作必备的知识、技能、经验、体能等。</w:t>
      </w:r>
    </w:p>
    <w:p>
      <w:pPr>
        <w:pStyle w:val="Normal"/>
        <w:ind w:firstLine="435"/>
        <w:rPr/>
      </w:pPr>
      <w:r>
        <w:rPr>
          <w:rFonts w:eastAsia="楷体_GB2312" w:cs="楷体_GB2312" w:ascii="楷体_GB2312" w:hAnsi="楷体_GB2312"/>
          <w:b/>
          <w:sz w:val="30"/>
          <w:szCs w:val="30"/>
        </w:rPr>
        <w:t xml:space="preserve"> </w:t>
      </w:r>
      <w:r>
        <w:rPr>
          <w:rFonts w:eastAsia="楷体_GB2312" w:ascii="楷体_GB2312" w:hAnsi="楷体_GB2312"/>
          <w:b/>
          <w:sz w:val="30"/>
          <w:szCs w:val="30"/>
        </w:rPr>
        <w:t>(</w:t>
      </w:r>
      <w:r>
        <w:rPr>
          <w:rFonts w:ascii="楷体_GB2312" w:hAnsi="楷体_GB2312" w:eastAsia="楷体_GB2312"/>
          <w:b/>
          <w:sz w:val="30"/>
          <w:szCs w:val="30"/>
        </w:rPr>
        <w:t>三</w:t>
      </w:r>
      <w:r>
        <w:rPr>
          <w:rFonts w:eastAsia="楷体_GB2312" w:ascii="楷体_GB2312" w:hAnsi="楷体_GB2312"/>
          <w:b/>
          <w:sz w:val="30"/>
          <w:szCs w:val="30"/>
        </w:rPr>
        <w:t>)</w:t>
      </w:r>
      <w:r>
        <w:rPr>
          <w:rFonts w:ascii="楷体_GB2312" w:hAnsi="楷体_GB2312" w:eastAsia="楷体_GB2312"/>
          <w:b/>
          <w:sz w:val="30"/>
          <w:szCs w:val="30"/>
        </w:rPr>
        <w:t>工作态度是指积极性、责任心、合作意识、敬业精神等。</w:t>
      </w:r>
    </w:p>
    <w:p>
      <w:pPr>
        <w:pStyle w:val="Normal"/>
        <w:ind w:firstLine="435"/>
        <w:rPr/>
      </w:pPr>
      <w:r>
        <w:rPr>
          <w:rFonts w:eastAsia="楷体_GB2312" w:cs="楷体_GB2312" w:ascii="楷体_GB2312" w:hAnsi="楷体_GB2312"/>
          <w:b/>
          <w:sz w:val="30"/>
          <w:szCs w:val="30"/>
        </w:rPr>
        <w:t xml:space="preserve"> </w:t>
      </w:r>
      <w:r>
        <w:rPr>
          <w:rFonts w:ascii="楷体_GB2312" w:hAnsi="楷体_GB2312" w:eastAsia="楷体_GB2312"/>
          <w:b/>
          <w:sz w:val="30"/>
          <w:szCs w:val="30"/>
        </w:rPr>
        <w:t>工作能力和工作态度是员工绩效考核的共性指标</w:t>
      </w:r>
      <w:r>
        <w:rPr>
          <w:rFonts w:eastAsia="楷体_GB2312" w:ascii="楷体_GB2312" w:hAnsi="楷体_GB2312"/>
          <w:b/>
          <w:sz w:val="30"/>
          <w:szCs w:val="30"/>
        </w:rPr>
        <w:t>(</w:t>
      </w:r>
      <w:r>
        <w:rPr>
          <w:rFonts w:ascii="楷体_GB2312" w:hAnsi="楷体_GB2312" w:eastAsia="楷体_GB2312"/>
          <w:b/>
          <w:sz w:val="30"/>
          <w:szCs w:val="30"/>
        </w:rPr>
        <w:t>各类人员共性考核指标详见附件一</w:t>
      </w:r>
      <w:r>
        <w:rPr>
          <w:rFonts w:eastAsia="楷体_GB2312" w:ascii="楷体_GB2312" w:hAnsi="楷体_GB2312"/>
          <w:b/>
          <w:sz w:val="30"/>
          <w:szCs w:val="30"/>
        </w:rPr>
        <w:t>)</w:t>
      </w:r>
      <w:r>
        <w:rPr>
          <w:rFonts w:ascii="楷体_GB2312" w:hAnsi="楷体_GB2312" w:eastAsia="楷体_GB2312"/>
          <w:b/>
          <w:sz w:val="30"/>
          <w:szCs w:val="30"/>
        </w:rPr>
        <w:t>。其在绩效考核内容的权重，由各单位在组织实施时，根据不同的岗位、层次予以具体确定。</w:t>
      </w:r>
    </w:p>
    <w:p>
      <w:pPr>
        <w:pStyle w:val="Normal"/>
        <w:ind w:firstLine="435"/>
        <w:rPr/>
      </w:pPr>
      <w:r>
        <w:rPr>
          <w:rFonts w:eastAsia="楷体_GB2312" w:cs="楷体_GB2312" w:ascii="楷体_GB2312" w:hAnsi="楷体_GB2312"/>
          <w:b/>
          <w:sz w:val="30"/>
          <w:szCs w:val="30"/>
        </w:rPr>
        <w:t xml:space="preserve"> </w:t>
      </w:r>
      <w:r>
        <w:rPr>
          <w:rFonts w:ascii="楷体_GB2312" w:hAnsi="楷体_GB2312" w:eastAsia="楷体_GB2312"/>
          <w:b/>
          <w:sz w:val="30"/>
          <w:szCs w:val="30"/>
        </w:rPr>
        <w:t>第八条  指标确定原则。指标确定要遵循针对性、科学性、明确性原则；简洁清楚、重点有秩序的原则；</w:t>
      </w:r>
      <w:r>
        <w:rPr>
          <w:rFonts w:ascii="楷体_GB2312" w:hAnsi="楷体_GB2312" w:eastAsia="楷体_GB2312"/>
          <w:b/>
          <w:sz w:val="30"/>
          <w:szCs w:val="30"/>
          <w:u w:val="single"/>
        </w:rPr>
        <w:t>可量化、可衡量、可考核、可实现，与工作相关、有时间性要求</w:t>
      </w:r>
      <w:r>
        <w:rPr>
          <w:rFonts w:ascii="楷体_GB2312" w:hAnsi="楷体_GB2312" w:eastAsia="楷体_GB2312"/>
          <w:b/>
          <w:sz w:val="30"/>
          <w:szCs w:val="30"/>
        </w:rPr>
        <w:t>的原则；企业、部门</w:t>
      </w:r>
      <w:r>
        <w:rPr>
          <w:rFonts w:eastAsia="楷体_GB2312" w:ascii="楷体_GB2312" w:hAnsi="楷体_GB2312"/>
          <w:b/>
          <w:sz w:val="30"/>
          <w:szCs w:val="30"/>
        </w:rPr>
        <w:t>(</w:t>
      </w:r>
      <w:r>
        <w:rPr>
          <w:rFonts w:ascii="楷体_GB2312" w:hAnsi="楷体_GB2312" w:eastAsia="楷体_GB2312"/>
          <w:b/>
          <w:sz w:val="30"/>
          <w:szCs w:val="30"/>
        </w:rPr>
        <w:t>班站</w:t>
      </w:r>
      <w:r>
        <w:rPr>
          <w:rFonts w:eastAsia="楷体_GB2312" w:ascii="楷体_GB2312" w:hAnsi="楷体_GB2312"/>
          <w:b/>
          <w:sz w:val="30"/>
          <w:szCs w:val="30"/>
        </w:rPr>
        <w:t>)</w:t>
      </w:r>
      <w:r>
        <w:rPr>
          <w:rFonts w:ascii="楷体_GB2312" w:hAnsi="楷体_GB2312" w:eastAsia="楷体_GB2312"/>
          <w:b/>
          <w:sz w:val="30"/>
          <w:szCs w:val="30"/>
        </w:rPr>
        <w:t>与个人间目标相衔接的原则；不断持续提升、有一定挑战性的原则。</w:t>
      </w:r>
    </w:p>
    <w:p>
      <w:pPr>
        <w:pStyle w:val="Normal"/>
        <w:ind w:firstLine="435"/>
        <w:rPr/>
      </w:pPr>
      <w:r>
        <w:rPr>
          <w:rFonts w:ascii="楷体_GB2312" w:hAnsi="楷体_GB2312" w:eastAsia="楷体_GB2312"/>
          <w:b/>
          <w:sz w:val="30"/>
          <w:szCs w:val="30"/>
        </w:rPr>
        <w:t>第九条  工作业绩由</w:t>
      </w:r>
      <w:r>
        <w:rPr>
          <w:rFonts w:ascii="楷体_GB2312" w:hAnsi="楷体_GB2312" w:eastAsia="楷体_GB2312"/>
          <w:b/>
          <w:sz w:val="30"/>
          <w:szCs w:val="30"/>
          <w:u w:val="single"/>
        </w:rPr>
        <w:t>工作目标、工作任务、职责</w:t>
      </w:r>
      <w:r>
        <w:rPr>
          <w:rFonts w:ascii="楷体_GB2312" w:hAnsi="楷体_GB2312" w:eastAsia="楷体_GB2312"/>
          <w:b/>
          <w:sz w:val="30"/>
          <w:szCs w:val="30"/>
        </w:rPr>
        <w:t>确定。主要包括企业关键绩效指标</w:t>
      </w:r>
      <w:r>
        <w:rPr>
          <w:rFonts w:eastAsia="楷体_GB2312" w:ascii="楷体_GB2312" w:hAnsi="楷体_GB2312"/>
          <w:b/>
          <w:sz w:val="30"/>
          <w:szCs w:val="30"/>
        </w:rPr>
        <w:t>(KPI)</w:t>
      </w:r>
      <w:r>
        <w:rPr>
          <w:rFonts w:ascii="楷体_GB2312" w:hAnsi="楷体_GB2312" w:eastAsia="楷体_GB2312"/>
          <w:b/>
          <w:sz w:val="30"/>
          <w:szCs w:val="30"/>
        </w:rPr>
        <w:t>、职能性指标、临时性重要工作任务等构成。</w:t>
      </w:r>
    </w:p>
    <w:p>
      <w:pPr>
        <w:pStyle w:val="Normal"/>
        <w:ind w:firstLine="435"/>
        <w:rPr/>
      </w:pPr>
      <w:r>
        <w:rPr>
          <w:rFonts w:eastAsia="楷体_GB2312" w:cs="楷体_GB2312" w:ascii="楷体_GB2312" w:hAnsi="楷体_GB2312"/>
          <w:b/>
          <w:sz w:val="30"/>
          <w:szCs w:val="30"/>
        </w:rPr>
        <w:t xml:space="preserve"> </w:t>
      </w:r>
      <w:r>
        <w:rPr>
          <w:rFonts w:eastAsia="楷体_GB2312" w:ascii="楷体_GB2312" w:hAnsi="楷体_GB2312"/>
          <w:b/>
          <w:sz w:val="30"/>
          <w:szCs w:val="30"/>
        </w:rPr>
        <w:t>(</w:t>
      </w:r>
      <w:r>
        <w:rPr>
          <w:rFonts w:ascii="楷体_GB2312" w:hAnsi="楷体_GB2312" w:eastAsia="楷体_GB2312"/>
          <w:b/>
          <w:sz w:val="30"/>
          <w:szCs w:val="30"/>
        </w:rPr>
        <w:t>一</w:t>
      </w:r>
      <w:r>
        <w:rPr>
          <w:rFonts w:eastAsia="楷体_GB2312" w:ascii="楷体_GB2312" w:hAnsi="楷体_GB2312"/>
          <w:b/>
          <w:sz w:val="30"/>
          <w:szCs w:val="30"/>
        </w:rPr>
        <w:t>)</w:t>
      </w:r>
      <w:r>
        <w:rPr>
          <w:rFonts w:ascii="楷体_GB2312" w:hAnsi="楷体_GB2312" w:eastAsia="楷体_GB2312"/>
          <w:b/>
          <w:sz w:val="30"/>
          <w:szCs w:val="30"/>
        </w:rPr>
        <w:t>企业关键绩效指标</w:t>
      </w:r>
      <w:r>
        <w:rPr>
          <w:rFonts w:eastAsia="楷体_GB2312" w:ascii="楷体_GB2312" w:hAnsi="楷体_GB2312"/>
          <w:b/>
          <w:sz w:val="30"/>
          <w:szCs w:val="30"/>
        </w:rPr>
        <w:t>(KPI)</w:t>
      </w:r>
      <w:r>
        <w:rPr>
          <w:rFonts w:ascii="楷体_GB2312" w:hAnsi="楷体_GB2312" w:eastAsia="楷体_GB2312"/>
          <w:b/>
          <w:sz w:val="30"/>
          <w:szCs w:val="30"/>
        </w:rPr>
        <w:t>，是指将企业的发展战略目标结合部门职能或岗位职责进行因果关系分解的关键绩效评价指标。</w:t>
      </w:r>
    </w:p>
    <w:p>
      <w:pPr>
        <w:pStyle w:val="Normal"/>
        <w:ind w:firstLine="435"/>
        <w:rPr/>
      </w:pPr>
      <w:r>
        <w:rPr>
          <w:rFonts w:eastAsia="楷体_GB2312" w:cs="楷体_GB2312" w:ascii="楷体_GB2312" w:hAnsi="楷体_GB2312"/>
          <w:b/>
          <w:sz w:val="30"/>
          <w:szCs w:val="30"/>
        </w:rPr>
        <w:t xml:space="preserve"> </w:t>
      </w:r>
      <w:r>
        <w:rPr>
          <w:rFonts w:eastAsia="楷体_GB2312" w:ascii="楷体_GB2312" w:hAnsi="楷体_GB2312"/>
          <w:b/>
          <w:sz w:val="30"/>
          <w:szCs w:val="30"/>
        </w:rPr>
        <w:t>(</w:t>
      </w:r>
      <w:r>
        <w:rPr>
          <w:rFonts w:ascii="楷体_GB2312" w:hAnsi="楷体_GB2312" w:eastAsia="楷体_GB2312"/>
          <w:b/>
          <w:sz w:val="30"/>
          <w:szCs w:val="30"/>
        </w:rPr>
        <w:t>二</w:t>
      </w:r>
      <w:r>
        <w:rPr>
          <w:rFonts w:eastAsia="楷体_GB2312" w:ascii="楷体_GB2312" w:hAnsi="楷体_GB2312"/>
          <w:b/>
          <w:sz w:val="30"/>
          <w:szCs w:val="30"/>
        </w:rPr>
        <w:t>)</w:t>
      </w:r>
      <w:r>
        <w:rPr>
          <w:rFonts w:ascii="楷体_GB2312" w:hAnsi="楷体_GB2312" w:eastAsia="楷体_GB2312"/>
          <w:b/>
          <w:sz w:val="30"/>
          <w:szCs w:val="30"/>
        </w:rPr>
        <w:t>职能性指标，是指根据工作任务，按照职能或职责而建立的量化与规范性评价指标。</w:t>
      </w:r>
    </w:p>
    <w:p>
      <w:pPr>
        <w:pStyle w:val="Normal"/>
        <w:ind w:firstLine="435"/>
        <w:rPr/>
      </w:pPr>
      <w:r>
        <w:rPr>
          <w:rFonts w:eastAsia="楷体_GB2312" w:cs="楷体_GB2312" w:ascii="楷体_GB2312" w:hAnsi="楷体_GB2312"/>
          <w:b/>
          <w:sz w:val="30"/>
          <w:szCs w:val="30"/>
        </w:rPr>
        <w:t xml:space="preserve"> </w:t>
      </w:r>
      <w:r>
        <w:rPr>
          <w:rFonts w:eastAsia="楷体_GB2312" w:ascii="楷体_GB2312" w:hAnsi="楷体_GB2312"/>
          <w:b/>
          <w:sz w:val="30"/>
          <w:szCs w:val="30"/>
        </w:rPr>
        <w:t>(</w:t>
      </w:r>
      <w:r>
        <w:rPr>
          <w:rFonts w:ascii="楷体_GB2312" w:hAnsi="楷体_GB2312" w:eastAsia="楷体_GB2312"/>
          <w:b/>
          <w:sz w:val="30"/>
          <w:szCs w:val="30"/>
        </w:rPr>
        <w:t>三</w:t>
      </w:r>
      <w:r>
        <w:rPr>
          <w:rFonts w:eastAsia="楷体_GB2312" w:ascii="楷体_GB2312" w:hAnsi="楷体_GB2312"/>
          <w:b/>
          <w:sz w:val="30"/>
          <w:szCs w:val="30"/>
        </w:rPr>
        <w:t>)</w:t>
      </w:r>
      <w:r>
        <w:rPr>
          <w:rFonts w:ascii="楷体_GB2312" w:hAnsi="楷体_GB2312" w:eastAsia="楷体_GB2312"/>
          <w:b/>
          <w:sz w:val="30"/>
          <w:szCs w:val="30"/>
        </w:rPr>
        <w:t>临时性重要任务，是指由直接上级临时交办的、与职能或职责相关的重要工作。该指标用于月度工作业绩考核。</w:t>
      </w:r>
    </w:p>
    <w:p>
      <w:pPr>
        <w:pStyle w:val="Normal"/>
        <w:ind w:firstLine="435"/>
        <w:rPr/>
      </w:pPr>
      <w:r>
        <w:rPr>
          <w:rFonts w:eastAsia="楷体_GB2312" w:cs="楷体_GB2312" w:ascii="楷体_GB2312" w:hAnsi="楷体_GB2312"/>
          <w:b/>
          <w:sz w:val="30"/>
          <w:szCs w:val="30"/>
        </w:rPr>
        <w:t xml:space="preserve"> </w:t>
      </w:r>
      <w:r>
        <w:rPr>
          <w:rFonts w:ascii="楷体_GB2312" w:hAnsi="楷体_GB2312" w:eastAsia="楷体_GB2312"/>
          <w:b/>
          <w:sz w:val="30"/>
          <w:szCs w:val="30"/>
        </w:rPr>
        <w:t>以上内容实行百分制。</w:t>
      </w:r>
    </w:p>
    <w:p>
      <w:pPr>
        <w:pStyle w:val="Normal"/>
        <w:ind w:firstLine="435"/>
        <w:rPr>
          <w:rFonts w:ascii="楷体_GB2312" w:hAnsi="楷体_GB2312" w:eastAsia="楷体_GB2312"/>
          <w:b/>
          <w:b/>
          <w:sz w:val="30"/>
          <w:szCs w:val="30"/>
        </w:rPr>
      </w:pPr>
      <w:r>
        <w:rPr>
          <w:rFonts w:eastAsia="楷体_GB2312" w:cs="楷体_GB2312" w:ascii="楷体_GB2312" w:hAnsi="楷体_GB2312"/>
          <w:b/>
          <w:sz w:val="30"/>
          <w:szCs w:val="30"/>
        </w:rPr>
        <w:t xml:space="preserve"> </w:t>
      </w:r>
      <w:r>
        <w:rPr>
          <w:rFonts w:ascii="楷体_GB2312" w:hAnsi="楷体_GB2312" w:eastAsia="楷体_GB2312"/>
          <w:b/>
          <w:sz w:val="30"/>
          <w:szCs w:val="30"/>
        </w:rPr>
        <w:t>第十条  奖励性指标是指进行创新性工作并取得良好效果，或为完成企业关键绩效指标</w:t>
      </w:r>
      <w:r>
        <w:rPr>
          <w:rFonts w:eastAsia="楷体_GB2312" w:ascii="楷体_GB2312" w:hAnsi="楷体_GB2312"/>
          <w:b/>
          <w:sz w:val="30"/>
          <w:szCs w:val="30"/>
        </w:rPr>
        <w:t xml:space="preserve">(KPI) </w:t>
      </w:r>
      <w:r>
        <w:rPr>
          <w:rFonts w:ascii="楷体_GB2312" w:hAnsi="楷体_GB2312" w:eastAsia="楷体_GB2312"/>
          <w:b/>
          <w:sz w:val="30"/>
          <w:szCs w:val="30"/>
        </w:rPr>
        <w:t>作出突出贡献设定的指标。分值不超过</w:t>
      </w:r>
      <w:r>
        <w:rPr>
          <w:rFonts w:eastAsia="楷体_GB2312" w:ascii="楷体_GB2312" w:hAnsi="楷体_GB2312"/>
          <w:b/>
          <w:sz w:val="30"/>
          <w:szCs w:val="30"/>
        </w:rPr>
        <w:t>5</w:t>
      </w:r>
      <w:r>
        <w:rPr>
          <w:rFonts w:ascii="楷体_GB2312" w:hAnsi="楷体_GB2312" w:eastAsia="楷体_GB2312"/>
          <w:b/>
          <w:sz w:val="30"/>
          <w:szCs w:val="30"/>
        </w:rPr>
        <w:t>分。</w:t>
      </w:r>
    </w:p>
    <w:p>
      <w:pPr>
        <w:pStyle w:val="Normal"/>
        <w:ind w:firstLine="435"/>
        <w:rPr/>
      </w:pPr>
      <w:r>
        <w:rPr>
          <w:rFonts w:eastAsia="楷体_GB2312" w:cs="楷体_GB2312" w:ascii="楷体_GB2312" w:hAnsi="楷体_GB2312"/>
          <w:b/>
          <w:sz w:val="30"/>
          <w:szCs w:val="30"/>
        </w:rPr>
        <w:t xml:space="preserve"> </w:t>
      </w:r>
      <w:r>
        <w:rPr>
          <w:rFonts w:ascii="楷体_GB2312" w:hAnsi="楷体_GB2312" w:eastAsia="楷体_GB2312"/>
          <w:b/>
          <w:sz w:val="30"/>
          <w:szCs w:val="30"/>
        </w:rPr>
        <w:t>第十一条  对不同职务区间和不同岗位序列的员工，除了主要考核工作业绩外，工作能力和工作态度的考核内容应各有侧重：</w:t>
      </w:r>
    </w:p>
    <w:p>
      <w:pPr>
        <w:pStyle w:val="Normal"/>
        <w:ind w:firstLine="435"/>
        <w:rPr/>
      </w:pPr>
      <w:r>
        <w:rPr>
          <w:rFonts w:eastAsia="楷体_GB2312" w:cs="楷体_GB2312" w:ascii="楷体_GB2312" w:hAnsi="楷体_GB2312"/>
          <w:b/>
          <w:sz w:val="30"/>
          <w:szCs w:val="30"/>
        </w:rPr>
        <w:t xml:space="preserve"> </w:t>
      </w:r>
      <w:r>
        <w:rPr>
          <w:rFonts w:eastAsia="楷体_GB2312" w:ascii="楷体_GB2312" w:hAnsi="楷体_GB2312"/>
          <w:b/>
          <w:sz w:val="30"/>
          <w:szCs w:val="30"/>
        </w:rPr>
        <w:t>(</w:t>
      </w:r>
      <w:r>
        <w:rPr>
          <w:rFonts w:ascii="楷体_GB2312" w:hAnsi="楷体_GB2312" w:eastAsia="楷体_GB2312"/>
          <w:b/>
          <w:sz w:val="30"/>
          <w:szCs w:val="30"/>
        </w:rPr>
        <w:t>一</w:t>
      </w:r>
      <w:r>
        <w:rPr>
          <w:rFonts w:eastAsia="楷体_GB2312" w:ascii="楷体_GB2312" w:hAnsi="楷体_GB2312"/>
          <w:b/>
          <w:sz w:val="30"/>
          <w:szCs w:val="30"/>
        </w:rPr>
        <w:t>)</w:t>
      </w:r>
      <w:r>
        <w:rPr>
          <w:rFonts w:ascii="楷体_GB2312" w:hAnsi="楷体_GB2312" w:eastAsia="楷体_GB2312"/>
          <w:b/>
          <w:sz w:val="30"/>
          <w:szCs w:val="30"/>
        </w:rPr>
        <w:t>对中层管理人员，应侧重组织领导能力、计划能力、沟通协调能力、敬业精神、品质和员工队伍稳定的考核</w:t>
      </w:r>
      <w:r>
        <w:rPr>
          <w:rFonts w:eastAsia="楷体_GB2312" w:ascii="楷体_GB2312" w:hAnsi="楷体_GB2312"/>
          <w:b/>
          <w:sz w:val="30"/>
          <w:szCs w:val="30"/>
        </w:rPr>
        <w:t>;</w:t>
      </w:r>
    </w:p>
    <w:p>
      <w:pPr>
        <w:pStyle w:val="Normal"/>
        <w:ind w:firstLine="435"/>
        <w:rPr/>
      </w:pPr>
      <w:r>
        <w:rPr>
          <w:rFonts w:eastAsia="楷体_GB2312" w:cs="楷体_GB2312" w:ascii="楷体_GB2312" w:hAnsi="楷体_GB2312"/>
          <w:b/>
          <w:sz w:val="30"/>
          <w:szCs w:val="30"/>
        </w:rPr>
        <w:t xml:space="preserve"> </w:t>
      </w:r>
      <w:r>
        <w:rPr>
          <w:rFonts w:eastAsia="楷体_GB2312" w:ascii="楷体_GB2312" w:hAnsi="楷体_GB2312"/>
          <w:b/>
          <w:sz w:val="30"/>
          <w:szCs w:val="30"/>
        </w:rPr>
        <w:t>(</w:t>
      </w:r>
      <w:r>
        <w:rPr>
          <w:rFonts w:ascii="楷体_GB2312" w:hAnsi="楷体_GB2312" w:eastAsia="楷体_GB2312"/>
          <w:b/>
          <w:sz w:val="30"/>
          <w:szCs w:val="30"/>
        </w:rPr>
        <w:t>二</w:t>
      </w:r>
      <w:r>
        <w:rPr>
          <w:rFonts w:eastAsia="楷体_GB2312" w:ascii="楷体_GB2312" w:hAnsi="楷体_GB2312"/>
          <w:b/>
          <w:sz w:val="30"/>
          <w:szCs w:val="30"/>
        </w:rPr>
        <w:t>)</w:t>
      </w:r>
      <w:r>
        <w:rPr>
          <w:rFonts w:ascii="楷体_GB2312" w:hAnsi="楷体_GB2312" w:eastAsia="楷体_GB2312"/>
          <w:b/>
          <w:sz w:val="30"/>
          <w:szCs w:val="30"/>
        </w:rPr>
        <w:t>对一般管理和专业技术人员，应侧重专业业务能力、执行能力、主动性、团队精神的考核；</w:t>
      </w:r>
    </w:p>
    <w:p>
      <w:pPr>
        <w:pStyle w:val="Normal"/>
        <w:ind w:firstLine="435"/>
        <w:rPr/>
      </w:pPr>
      <w:r>
        <w:rPr>
          <w:rFonts w:eastAsia="楷体_GB2312" w:cs="楷体_GB2312" w:ascii="楷体_GB2312" w:hAnsi="楷体_GB2312"/>
          <w:b/>
          <w:sz w:val="30"/>
          <w:szCs w:val="30"/>
        </w:rPr>
        <w:t xml:space="preserve"> </w:t>
      </w:r>
      <w:r>
        <w:rPr>
          <w:rFonts w:eastAsia="楷体_GB2312" w:ascii="楷体_GB2312" w:hAnsi="楷体_GB2312"/>
          <w:b/>
          <w:sz w:val="30"/>
          <w:szCs w:val="30"/>
        </w:rPr>
        <w:t>(</w:t>
      </w:r>
      <w:r>
        <w:rPr>
          <w:rFonts w:ascii="楷体_GB2312" w:hAnsi="楷体_GB2312" w:eastAsia="楷体_GB2312"/>
          <w:b/>
          <w:sz w:val="30"/>
          <w:szCs w:val="30"/>
        </w:rPr>
        <w:t>三</w:t>
      </w:r>
      <w:r>
        <w:rPr>
          <w:rFonts w:eastAsia="楷体_GB2312" w:ascii="楷体_GB2312" w:hAnsi="楷体_GB2312"/>
          <w:b/>
          <w:sz w:val="30"/>
          <w:szCs w:val="30"/>
        </w:rPr>
        <w:t>)</w:t>
      </w:r>
      <w:r>
        <w:rPr>
          <w:rFonts w:ascii="楷体_GB2312" w:hAnsi="楷体_GB2312" w:eastAsia="楷体_GB2312"/>
          <w:b/>
          <w:sz w:val="30"/>
          <w:szCs w:val="30"/>
        </w:rPr>
        <w:t>对生产技能人员，即在生产变电、检修分公司等部门和班站中直接从事生产或服务的人员，应侧重技能水平、安全意识、责任感、服务意识、纪律性的考核。</w:t>
      </w:r>
    </w:p>
    <w:p>
      <w:pPr>
        <w:pStyle w:val="Normal"/>
        <w:ind w:firstLine="435"/>
        <w:rPr/>
      </w:pPr>
      <w:r>
        <w:rPr>
          <w:rFonts w:eastAsia="楷体_GB2312" w:cs="楷体_GB2312" w:ascii="楷体_GB2312" w:hAnsi="楷体_GB2312"/>
          <w:b/>
          <w:sz w:val="30"/>
          <w:szCs w:val="30"/>
        </w:rPr>
        <w:t xml:space="preserve"> </w:t>
      </w:r>
      <w:r>
        <w:rPr>
          <w:rFonts w:ascii="楷体_GB2312" w:hAnsi="楷体_GB2312" w:eastAsia="楷体_GB2312"/>
          <w:b/>
          <w:sz w:val="30"/>
          <w:szCs w:val="30"/>
        </w:rPr>
        <w:t>第十二条  员工队伍稳定指标是指对员工上访、违法违纪等造成不良影响设定的指标。发生下列情况之一的实行分值扣减：</w:t>
      </w:r>
    </w:p>
    <w:p>
      <w:pPr>
        <w:pStyle w:val="Normal"/>
        <w:ind w:firstLine="435"/>
        <w:rPr/>
      </w:pPr>
      <w:r>
        <w:rPr>
          <w:rFonts w:eastAsia="楷体_GB2312" w:cs="楷体_GB2312" w:ascii="楷体_GB2312" w:hAnsi="楷体_GB2312"/>
          <w:b/>
          <w:sz w:val="30"/>
          <w:szCs w:val="30"/>
        </w:rPr>
        <w:t xml:space="preserve"> </w:t>
      </w:r>
      <w:r>
        <w:rPr>
          <w:rFonts w:eastAsia="楷体_GB2312" w:ascii="楷体_GB2312" w:hAnsi="楷体_GB2312"/>
          <w:b/>
          <w:sz w:val="30"/>
          <w:szCs w:val="30"/>
        </w:rPr>
        <w:t>(</w:t>
      </w:r>
      <w:r>
        <w:rPr>
          <w:rFonts w:ascii="楷体_GB2312" w:hAnsi="楷体_GB2312" w:eastAsia="楷体_GB2312"/>
          <w:b/>
          <w:sz w:val="30"/>
          <w:szCs w:val="30"/>
        </w:rPr>
        <w:t>一</w:t>
      </w:r>
      <w:r>
        <w:rPr>
          <w:rFonts w:eastAsia="楷体_GB2312" w:ascii="楷体_GB2312" w:hAnsi="楷体_GB2312"/>
          <w:b/>
          <w:sz w:val="30"/>
          <w:szCs w:val="30"/>
        </w:rPr>
        <w:t>)</w:t>
      </w:r>
      <w:r>
        <w:rPr>
          <w:rFonts w:ascii="楷体_GB2312" w:hAnsi="楷体_GB2312" w:eastAsia="楷体_GB2312"/>
          <w:b/>
          <w:sz w:val="30"/>
          <w:szCs w:val="30"/>
        </w:rPr>
        <w:t>不稳定级别及责任人扣分设定。一级：在全国范围造成不良影响的，扣责任人绩效考核分</w:t>
      </w:r>
      <w:r>
        <w:rPr>
          <w:rFonts w:eastAsia="楷体_GB2312" w:ascii="楷体_GB2312" w:hAnsi="楷体_GB2312"/>
          <w:b/>
          <w:sz w:val="30"/>
          <w:szCs w:val="30"/>
        </w:rPr>
        <w:t>60</w:t>
      </w:r>
      <w:r>
        <w:rPr>
          <w:rFonts w:ascii="楷体_GB2312" w:hAnsi="楷体_GB2312" w:eastAsia="楷体_GB2312"/>
          <w:b/>
          <w:sz w:val="30"/>
          <w:szCs w:val="30"/>
        </w:rPr>
        <w:t>分；二级：在省内或国网公司系统范围造成不良影响的，扣责任人绩效考核分</w:t>
      </w:r>
      <w:r>
        <w:rPr>
          <w:rFonts w:eastAsia="楷体_GB2312" w:ascii="楷体_GB2312" w:hAnsi="楷体_GB2312"/>
          <w:b/>
          <w:sz w:val="30"/>
          <w:szCs w:val="30"/>
        </w:rPr>
        <w:t>45</w:t>
      </w:r>
      <w:r>
        <w:rPr>
          <w:rFonts w:ascii="楷体_GB2312" w:hAnsi="楷体_GB2312" w:eastAsia="楷体_GB2312"/>
          <w:b/>
          <w:sz w:val="30"/>
          <w:szCs w:val="30"/>
        </w:rPr>
        <w:t>分；三级：在公司系统范围造成不良影响的，扣责任人绩效考核分</w:t>
      </w:r>
      <w:r>
        <w:rPr>
          <w:rFonts w:eastAsia="楷体_GB2312" w:ascii="楷体_GB2312" w:hAnsi="楷体_GB2312"/>
          <w:b/>
          <w:sz w:val="30"/>
          <w:szCs w:val="30"/>
        </w:rPr>
        <w:t>15</w:t>
      </w:r>
      <w:r>
        <w:rPr>
          <w:rFonts w:ascii="楷体_GB2312" w:hAnsi="楷体_GB2312" w:eastAsia="楷体_GB2312"/>
          <w:b/>
          <w:sz w:val="30"/>
          <w:szCs w:val="30"/>
        </w:rPr>
        <w:t>分；四级：在本单位范围造成不良影响的，扣责任人绩效考核分</w:t>
      </w:r>
      <w:r>
        <w:rPr>
          <w:rFonts w:eastAsia="楷体_GB2312" w:ascii="楷体_GB2312" w:hAnsi="楷体_GB2312"/>
          <w:b/>
          <w:sz w:val="30"/>
          <w:szCs w:val="30"/>
        </w:rPr>
        <w:t>5</w:t>
      </w:r>
      <w:r>
        <w:rPr>
          <w:rFonts w:ascii="楷体_GB2312" w:hAnsi="楷体_GB2312" w:eastAsia="楷体_GB2312"/>
          <w:b/>
          <w:sz w:val="30"/>
          <w:szCs w:val="30"/>
        </w:rPr>
        <w:t>分。</w:t>
      </w:r>
    </w:p>
    <w:p>
      <w:pPr>
        <w:pStyle w:val="Normal"/>
        <w:ind w:firstLine="435"/>
        <w:rPr>
          <w:rFonts w:ascii="楷体_GB2312" w:hAnsi="楷体_GB2312" w:eastAsia="楷体_GB2312"/>
          <w:b/>
          <w:b/>
          <w:sz w:val="30"/>
          <w:szCs w:val="30"/>
        </w:rPr>
      </w:pPr>
      <w:r>
        <w:rPr>
          <w:rFonts w:eastAsia="楷体_GB2312" w:ascii="楷体_GB2312" w:hAnsi="楷体_GB2312"/>
          <w:b/>
          <w:sz w:val="30"/>
          <w:szCs w:val="30"/>
        </w:rPr>
        <w:t>(</w:t>
      </w:r>
      <w:r>
        <w:rPr>
          <w:rFonts w:ascii="楷体_GB2312" w:hAnsi="楷体_GB2312" w:eastAsia="楷体_GB2312"/>
          <w:b/>
          <w:sz w:val="30"/>
          <w:szCs w:val="30"/>
        </w:rPr>
        <w:t>二</w:t>
      </w:r>
      <w:r>
        <w:rPr>
          <w:rFonts w:eastAsia="楷体_GB2312" w:ascii="楷体_GB2312" w:hAnsi="楷体_GB2312"/>
          <w:b/>
          <w:sz w:val="30"/>
          <w:szCs w:val="30"/>
        </w:rPr>
        <w:t>)</w:t>
      </w:r>
      <w:r>
        <w:rPr>
          <w:rFonts w:ascii="楷体_GB2312" w:hAnsi="楷体_GB2312" w:eastAsia="楷体_GB2312"/>
          <w:b/>
          <w:sz w:val="30"/>
          <w:szCs w:val="30"/>
        </w:rPr>
        <w:t>考核期发生下列个体不稳定情况，扣责任人所在部门</w:t>
      </w:r>
      <w:r>
        <w:rPr>
          <w:rFonts w:eastAsia="楷体_GB2312" w:ascii="楷体_GB2312" w:hAnsi="楷体_GB2312"/>
          <w:b/>
          <w:sz w:val="30"/>
          <w:szCs w:val="30"/>
        </w:rPr>
        <w:t>(</w:t>
      </w:r>
      <w:r>
        <w:rPr>
          <w:rFonts w:ascii="楷体_GB2312" w:hAnsi="楷体_GB2312" w:eastAsia="楷体_GB2312"/>
          <w:b/>
          <w:sz w:val="30"/>
          <w:szCs w:val="30"/>
        </w:rPr>
        <w:t>班站</w:t>
      </w:r>
      <w:r>
        <w:rPr>
          <w:rFonts w:eastAsia="楷体_GB2312" w:ascii="楷体_GB2312" w:hAnsi="楷体_GB2312"/>
          <w:b/>
          <w:sz w:val="30"/>
          <w:szCs w:val="30"/>
        </w:rPr>
        <w:t>)</w:t>
      </w:r>
      <w:r>
        <w:rPr>
          <w:rFonts w:ascii="楷体_GB2312" w:hAnsi="楷体_GB2312" w:eastAsia="楷体_GB2312"/>
          <w:b/>
          <w:sz w:val="30"/>
          <w:szCs w:val="30"/>
        </w:rPr>
        <w:t>负责人工作能力分值：</w:t>
      </w:r>
    </w:p>
    <w:p>
      <w:pPr>
        <w:pStyle w:val="Normal"/>
        <w:ind w:firstLine="435"/>
        <w:rPr/>
      </w:pPr>
      <w:r>
        <w:rPr>
          <w:rFonts w:eastAsia="楷体_GB2312" w:cs="楷体_GB2312" w:ascii="楷体_GB2312" w:hAnsi="楷体_GB2312"/>
          <w:b/>
          <w:sz w:val="30"/>
          <w:szCs w:val="30"/>
        </w:rPr>
        <w:t xml:space="preserve">    </w:t>
      </w:r>
      <w:r>
        <w:rPr>
          <w:rFonts w:eastAsia="楷体_GB2312" w:ascii="楷体_GB2312" w:hAnsi="楷体_GB2312"/>
          <w:b/>
          <w:sz w:val="30"/>
          <w:szCs w:val="30"/>
        </w:rPr>
        <w:t>1</w:t>
      </w:r>
      <w:r>
        <w:rPr>
          <w:rFonts w:ascii="楷体_GB2312" w:hAnsi="楷体_GB2312" w:eastAsia="楷体_GB2312"/>
          <w:b/>
          <w:sz w:val="30"/>
          <w:szCs w:val="30"/>
        </w:rPr>
        <w:t>、发生</w:t>
      </w:r>
      <w:r>
        <w:rPr>
          <w:rFonts w:eastAsia="楷体_GB2312" w:ascii="楷体_GB2312" w:hAnsi="楷体_GB2312"/>
          <w:b/>
          <w:sz w:val="30"/>
          <w:szCs w:val="30"/>
        </w:rPr>
        <w:t>1</w:t>
      </w:r>
      <w:r>
        <w:rPr>
          <w:rFonts w:ascii="楷体_GB2312" w:hAnsi="楷体_GB2312" w:eastAsia="楷体_GB2312"/>
          <w:b/>
          <w:sz w:val="30"/>
          <w:szCs w:val="30"/>
        </w:rPr>
        <w:t>人及以上一级不稳定事件，扣</w:t>
      </w:r>
      <w:r>
        <w:rPr>
          <w:rFonts w:eastAsia="楷体_GB2312" w:ascii="楷体_GB2312" w:hAnsi="楷体_GB2312"/>
          <w:b/>
          <w:sz w:val="30"/>
          <w:szCs w:val="30"/>
        </w:rPr>
        <w:t>10</w:t>
      </w:r>
      <w:r>
        <w:rPr>
          <w:rFonts w:ascii="楷体_GB2312" w:hAnsi="楷体_GB2312" w:eastAsia="楷体_GB2312"/>
          <w:b/>
          <w:sz w:val="30"/>
          <w:szCs w:val="30"/>
        </w:rPr>
        <w:t>分／人</w:t>
      </w:r>
      <w:r>
        <w:rPr>
          <w:rFonts w:eastAsia="楷体_GB2312" w:ascii="楷体_GB2312" w:hAnsi="楷体_GB2312"/>
          <w:b/>
          <w:sz w:val="30"/>
          <w:szCs w:val="30"/>
        </w:rPr>
        <w:t>·</w:t>
      </w:r>
      <w:r>
        <w:rPr>
          <w:rFonts w:ascii="楷体_GB2312" w:hAnsi="楷体_GB2312" w:eastAsia="楷体_GB2312"/>
          <w:b/>
          <w:sz w:val="30"/>
          <w:szCs w:val="30"/>
        </w:rPr>
        <w:t>次；</w:t>
      </w:r>
    </w:p>
    <w:p>
      <w:pPr>
        <w:pStyle w:val="Normal"/>
        <w:ind w:firstLine="435"/>
        <w:rPr/>
      </w:pPr>
      <w:r>
        <w:rPr>
          <w:rFonts w:eastAsia="楷体_GB2312" w:cs="楷体_GB2312" w:ascii="楷体_GB2312" w:hAnsi="楷体_GB2312"/>
          <w:b/>
          <w:sz w:val="30"/>
          <w:szCs w:val="30"/>
        </w:rPr>
        <w:t xml:space="preserve">    </w:t>
      </w:r>
      <w:r>
        <w:rPr>
          <w:rFonts w:eastAsia="楷体_GB2312" w:ascii="楷体_GB2312" w:hAnsi="楷体_GB2312"/>
          <w:b/>
          <w:sz w:val="30"/>
          <w:szCs w:val="30"/>
        </w:rPr>
        <w:t>2</w:t>
      </w:r>
      <w:r>
        <w:rPr>
          <w:rFonts w:ascii="楷体_GB2312" w:hAnsi="楷体_GB2312" w:eastAsia="楷体_GB2312"/>
          <w:b/>
          <w:sz w:val="30"/>
          <w:szCs w:val="30"/>
        </w:rPr>
        <w:t>、发生</w:t>
      </w:r>
      <w:r>
        <w:rPr>
          <w:rFonts w:eastAsia="楷体_GB2312" w:ascii="楷体_GB2312" w:hAnsi="楷体_GB2312"/>
          <w:b/>
          <w:sz w:val="30"/>
          <w:szCs w:val="30"/>
        </w:rPr>
        <w:t>1</w:t>
      </w:r>
      <w:r>
        <w:rPr>
          <w:rFonts w:ascii="楷体_GB2312" w:hAnsi="楷体_GB2312" w:eastAsia="楷体_GB2312"/>
          <w:b/>
          <w:sz w:val="30"/>
          <w:szCs w:val="30"/>
        </w:rPr>
        <w:t>人及以上二级不稳定事件，扣</w:t>
      </w:r>
      <w:r>
        <w:rPr>
          <w:rFonts w:eastAsia="楷体_GB2312" w:ascii="楷体_GB2312" w:hAnsi="楷体_GB2312"/>
          <w:b/>
          <w:sz w:val="30"/>
          <w:szCs w:val="30"/>
        </w:rPr>
        <w:t>5</w:t>
      </w:r>
      <w:r>
        <w:rPr>
          <w:rFonts w:ascii="楷体_GB2312" w:hAnsi="楷体_GB2312" w:eastAsia="楷体_GB2312"/>
          <w:b/>
          <w:sz w:val="30"/>
          <w:szCs w:val="30"/>
        </w:rPr>
        <w:t>分／人</w:t>
      </w:r>
      <w:r>
        <w:rPr>
          <w:rFonts w:eastAsia="楷体_GB2312" w:ascii="楷体_GB2312" w:hAnsi="楷体_GB2312"/>
          <w:b/>
          <w:sz w:val="30"/>
          <w:szCs w:val="30"/>
        </w:rPr>
        <w:t>·</w:t>
      </w:r>
      <w:r>
        <w:rPr>
          <w:rFonts w:ascii="楷体_GB2312" w:hAnsi="楷体_GB2312" w:eastAsia="楷体_GB2312"/>
          <w:b/>
          <w:sz w:val="30"/>
          <w:szCs w:val="30"/>
        </w:rPr>
        <w:t>次；</w:t>
      </w:r>
    </w:p>
    <w:p>
      <w:pPr>
        <w:pStyle w:val="Normal"/>
        <w:ind w:firstLine="435"/>
        <w:rPr/>
      </w:pPr>
      <w:r>
        <w:rPr>
          <w:rFonts w:eastAsia="楷体_GB2312" w:cs="楷体_GB2312" w:ascii="楷体_GB2312" w:hAnsi="楷体_GB2312"/>
          <w:b/>
          <w:sz w:val="30"/>
          <w:szCs w:val="30"/>
        </w:rPr>
        <w:t xml:space="preserve">    </w:t>
      </w:r>
      <w:r>
        <w:rPr>
          <w:rFonts w:eastAsia="楷体_GB2312" w:ascii="楷体_GB2312" w:hAnsi="楷体_GB2312"/>
          <w:b/>
          <w:sz w:val="30"/>
          <w:szCs w:val="30"/>
        </w:rPr>
        <w:t>3</w:t>
      </w:r>
      <w:r>
        <w:rPr>
          <w:rFonts w:ascii="楷体_GB2312" w:hAnsi="楷体_GB2312" w:eastAsia="楷体_GB2312"/>
          <w:b/>
          <w:sz w:val="30"/>
          <w:szCs w:val="30"/>
        </w:rPr>
        <w:t>、发生</w:t>
      </w:r>
      <w:r>
        <w:rPr>
          <w:rFonts w:eastAsia="楷体_GB2312" w:ascii="楷体_GB2312" w:hAnsi="楷体_GB2312"/>
          <w:b/>
          <w:sz w:val="30"/>
          <w:szCs w:val="30"/>
        </w:rPr>
        <w:t>1</w:t>
      </w:r>
      <w:r>
        <w:rPr>
          <w:rFonts w:ascii="楷体_GB2312" w:hAnsi="楷体_GB2312" w:eastAsia="楷体_GB2312"/>
          <w:b/>
          <w:sz w:val="30"/>
          <w:szCs w:val="30"/>
        </w:rPr>
        <w:t>人及以上三级不稳定事件，扣</w:t>
      </w:r>
      <w:r>
        <w:rPr>
          <w:rFonts w:eastAsia="楷体_GB2312" w:ascii="楷体_GB2312" w:hAnsi="楷体_GB2312"/>
          <w:b/>
          <w:sz w:val="30"/>
          <w:szCs w:val="30"/>
        </w:rPr>
        <w:t>2</w:t>
      </w:r>
      <w:r>
        <w:rPr>
          <w:rFonts w:ascii="楷体_GB2312" w:hAnsi="楷体_GB2312" w:eastAsia="楷体_GB2312"/>
          <w:b/>
          <w:sz w:val="30"/>
          <w:szCs w:val="30"/>
        </w:rPr>
        <w:t>分／人</w:t>
      </w:r>
      <w:r>
        <w:rPr>
          <w:rFonts w:eastAsia="楷体_GB2312" w:ascii="楷体_GB2312" w:hAnsi="楷体_GB2312"/>
          <w:b/>
          <w:sz w:val="30"/>
          <w:szCs w:val="30"/>
        </w:rPr>
        <w:t>·</w:t>
      </w:r>
      <w:r>
        <w:rPr>
          <w:rFonts w:ascii="楷体_GB2312" w:hAnsi="楷体_GB2312" w:eastAsia="楷体_GB2312"/>
          <w:b/>
          <w:sz w:val="30"/>
          <w:szCs w:val="30"/>
        </w:rPr>
        <w:t>次；</w:t>
      </w:r>
    </w:p>
    <w:p>
      <w:pPr>
        <w:pStyle w:val="Normal"/>
        <w:ind w:firstLine="435"/>
        <w:rPr/>
      </w:pPr>
      <w:r>
        <w:rPr>
          <w:rFonts w:eastAsia="楷体_GB2312" w:cs="楷体_GB2312" w:ascii="楷体_GB2312" w:hAnsi="楷体_GB2312"/>
          <w:b/>
          <w:sz w:val="30"/>
          <w:szCs w:val="30"/>
        </w:rPr>
        <w:t xml:space="preserve">    </w:t>
      </w:r>
      <w:r>
        <w:rPr>
          <w:rFonts w:eastAsia="楷体_GB2312" w:ascii="楷体_GB2312" w:hAnsi="楷体_GB2312"/>
          <w:b/>
          <w:sz w:val="30"/>
          <w:szCs w:val="30"/>
        </w:rPr>
        <w:t>3</w:t>
      </w:r>
      <w:r>
        <w:rPr>
          <w:rFonts w:ascii="楷体_GB2312" w:hAnsi="楷体_GB2312" w:eastAsia="楷体_GB2312"/>
          <w:b/>
          <w:sz w:val="30"/>
          <w:szCs w:val="30"/>
        </w:rPr>
        <w:t>、发生</w:t>
      </w:r>
      <w:r>
        <w:rPr>
          <w:rFonts w:eastAsia="楷体_GB2312" w:ascii="楷体_GB2312" w:hAnsi="楷体_GB2312"/>
          <w:b/>
          <w:sz w:val="30"/>
          <w:szCs w:val="30"/>
        </w:rPr>
        <w:t>1</w:t>
      </w:r>
      <w:r>
        <w:rPr>
          <w:rFonts w:ascii="楷体_GB2312" w:hAnsi="楷体_GB2312" w:eastAsia="楷体_GB2312"/>
          <w:b/>
          <w:sz w:val="30"/>
          <w:szCs w:val="30"/>
        </w:rPr>
        <w:t>人及以上四级不稳定事件，扣</w:t>
      </w:r>
      <w:r>
        <w:rPr>
          <w:rFonts w:eastAsia="楷体_GB2312" w:ascii="楷体_GB2312" w:hAnsi="楷体_GB2312"/>
          <w:b/>
          <w:sz w:val="30"/>
          <w:szCs w:val="30"/>
        </w:rPr>
        <w:t>1</w:t>
      </w:r>
      <w:r>
        <w:rPr>
          <w:rFonts w:ascii="楷体_GB2312" w:hAnsi="楷体_GB2312" w:eastAsia="楷体_GB2312"/>
          <w:b/>
          <w:sz w:val="30"/>
          <w:szCs w:val="30"/>
        </w:rPr>
        <w:t>分／人</w:t>
      </w:r>
      <w:r>
        <w:rPr>
          <w:rFonts w:eastAsia="楷体_GB2312" w:ascii="楷体_GB2312" w:hAnsi="楷体_GB2312"/>
          <w:b/>
          <w:sz w:val="30"/>
          <w:szCs w:val="30"/>
        </w:rPr>
        <w:t>·</w:t>
      </w:r>
      <w:r>
        <w:rPr>
          <w:rFonts w:ascii="楷体_GB2312" w:hAnsi="楷体_GB2312" w:eastAsia="楷体_GB2312"/>
          <w:b/>
          <w:sz w:val="30"/>
          <w:szCs w:val="30"/>
        </w:rPr>
        <w:t>次。</w:t>
      </w:r>
    </w:p>
    <w:p>
      <w:pPr>
        <w:pStyle w:val="Normal"/>
        <w:ind w:firstLine="435"/>
        <w:rPr>
          <w:rFonts w:ascii="楷体_GB2312" w:hAnsi="楷体_GB2312" w:eastAsia="楷体_GB2312"/>
          <w:b/>
          <w:b/>
          <w:sz w:val="30"/>
          <w:szCs w:val="30"/>
        </w:rPr>
      </w:pPr>
      <w:r>
        <w:rPr>
          <w:rFonts w:eastAsia="楷体_GB2312" w:ascii="楷体_GB2312" w:hAnsi="楷体_GB2312"/>
          <w:b/>
          <w:sz w:val="30"/>
          <w:szCs w:val="30"/>
        </w:rPr>
        <w:t>(</w:t>
      </w:r>
      <w:r>
        <w:rPr>
          <w:rFonts w:ascii="楷体_GB2312" w:hAnsi="楷体_GB2312" w:eastAsia="楷体_GB2312"/>
          <w:b/>
          <w:sz w:val="30"/>
          <w:szCs w:val="30"/>
        </w:rPr>
        <w:t>三</w:t>
      </w:r>
      <w:r>
        <w:rPr>
          <w:rFonts w:eastAsia="楷体_GB2312" w:ascii="楷体_GB2312" w:hAnsi="楷体_GB2312"/>
          <w:b/>
          <w:sz w:val="30"/>
          <w:szCs w:val="30"/>
        </w:rPr>
        <w:t>)</w:t>
      </w:r>
      <w:r>
        <w:rPr>
          <w:rFonts w:ascii="楷体_GB2312" w:hAnsi="楷体_GB2312" w:eastAsia="楷体_GB2312"/>
          <w:b/>
          <w:sz w:val="30"/>
          <w:szCs w:val="30"/>
        </w:rPr>
        <w:t>考核期发生</w:t>
      </w:r>
      <w:r>
        <w:rPr>
          <w:rFonts w:eastAsia="楷体_GB2312" w:ascii="楷体_GB2312" w:hAnsi="楷体_GB2312"/>
          <w:b/>
          <w:sz w:val="30"/>
          <w:szCs w:val="30"/>
        </w:rPr>
        <w:t xml:space="preserve">2 </w:t>
      </w:r>
      <w:r>
        <w:rPr>
          <w:rFonts w:ascii="楷体_GB2312" w:hAnsi="楷体_GB2312" w:eastAsia="楷体_GB2312"/>
          <w:b/>
          <w:sz w:val="30"/>
          <w:szCs w:val="30"/>
        </w:rPr>
        <w:t>人及以上群体不稳定情况，扣责任人所在部门</w:t>
      </w:r>
      <w:r>
        <w:rPr>
          <w:rFonts w:eastAsia="楷体_GB2312" w:ascii="楷体_GB2312" w:hAnsi="楷体_GB2312"/>
          <w:b/>
          <w:sz w:val="30"/>
          <w:szCs w:val="30"/>
        </w:rPr>
        <w:t>(</w:t>
      </w:r>
      <w:r>
        <w:rPr>
          <w:rFonts w:ascii="楷体_GB2312" w:hAnsi="楷体_GB2312" w:eastAsia="楷体_GB2312"/>
          <w:b/>
          <w:sz w:val="30"/>
          <w:szCs w:val="30"/>
        </w:rPr>
        <w:t>班站</w:t>
      </w:r>
      <w:r>
        <w:rPr>
          <w:rFonts w:eastAsia="楷体_GB2312" w:ascii="楷体_GB2312" w:hAnsi="楷体_GB2312"/>
          <w:b/>
          <w:sz w:val="30"/>
          <w:szCs w:val="30"/>
        </w:rPr>
        <w:t>)</w:t>
      </w:r>
      <w:r>
        <w:rPr>
          <w:rFonts w:ascii="楷体_GB2312" w:hAnsi="楷体_GB2312" w:eastAsia="楷体_GB2312"/>
          <w:b/>
          <w:sz w:val="30"/>
          <w:szCs w:val="30"/>
        </w:rPr>
        <w:t>绩效考核分值：</w:t>
      </w:r>
    </w:p>
    <w:p>
      <w:pPr>
        <w:pStyle w:val="Normal"/>
        <w:ind w:firstLine="435"/>
        <w:rPr>
          <w:rFonts w:ascii="楷体_GB2312" w:hAnsi="楷体_GB2312" w:eastAsia="楷体_GB2312"/>
          <w:b/>
          <w:b/>
          <w:sz w:val="30"/>
          <w:szCs w:val="30"/>
        </w:rPr>
      </w:pPr>
      <w:r>
        <w:rPr>
          <w:rFonts w:eastAsia="楷体_GB2312" w:cs="楷体_GB2312" w:ascii="楷体_GB2312" w:hAnsi="楷体_GB2312"/>
          <w:b/>
          <w:sz w:val="30"/>
          <w:szCs w:val="30"/>
        </w:rPr>
        <w:t xml:space="preserve">    </w:t>
      </w:r>
      <w:r>
        <w:rPr>
          <w:rFonts w:eastAsia="楷体_GB2312" w:ascii="楷体_GB2312" w:hAnsi="楷体_GB2312"/>
          <w:b/>
          <w:sz w:val="30"/>
          <w:szCs w:val="30"/>
        </w:rPr>
        <w:t>1</w:t>
      </w:r>
      <w:r>
        <w:rPr>
          <w:rFonts w:ascii="楷体_GB2312" w:hAnsi="楷体_GB2312" w:eastAsia="楷体_GB2312"/>
          <w:b/>
          <w:sz w:val="30"/>
          <w:szCs w:val="30"/>
        </w:rPr>
        <w:t>、一级不稳定事件，扣</w:t>
      </w:r>
      <w:r>
        <w:rPr>
          <w:rFonts w:eastAsia="楷体_GB2312" w:ascii="楷体_GB2312" w:hAnsi="楷体_GB2312"/>
          <w:b/>
          <w:sz w:val="30"/>
          <w:szCs w:val="30"/>
        </w:rPr>
        <w:t>20</w:t>
      </w:r>
      <w:r>
        <w:rPr>
          <w:rFonts w:ascii="楷体_GB2312" w:hAnsi="楷体_GB2312" w:eastAsia="楷体_GB2312"/>
          <w:b/>
          <w:sz w:val="30"/>
          <w:szCs w:val="30"/>
        </w:rPr>
        <w:t>分；</w:t>
      </w:r>
    </w:p>
    <w:p>
      <w:pPr>
        <w:pStyle w:val="Normal"/>
        <w:ind w:firstLine="435"/>
        <w:rPr>
          <w:rFonts w:ascii="楷体_GB2312" w:hAnsi="楷体_GB2312" w:eastAsia="楷体_GB2312"/>
          <w:b/>
          <w:b/>
          <w:sz w:val="30"/>
          <w:szCs w:val="30"/>
        </w:rPr>
      </w:pPr>
      <w:r>
        <w:rPr>
          <w:rFonts w:eastAsia="楷体_GB2312" w:cs="楷体_GB2312" w:ascii="楷体_GB2312" w:hAnsi="楷体_GB2312"/>
          <w:b/>
          <w:sz w:val="30"/>
          <w:szCs w:val="30"/>
        </w:rPr>
        <w:t xml:space="preserve">    </w:t>
      </w:r>
      <w:r>
        <w:rPr>
          <w:rFonts w:eastAsia="楷体_GB2312" w:ascii="楷体_GB2312" w:hAnsi="楷体_GB2312"/>
          <w:b/>
          <w:sz w:val="30"/>
          <w:szCs w:val="30"/>
        </w:rPr>
        <w:t>2</w:t>
      </w:r>
      <w:r>
        <w:rPr>
          <w:rFonts w:ascii="楷体_GB2312" w:hAnsi="楷体_GB2312" w:eastAsia="楷体_GB2312"/>
          <w:b/>
          <w:sz w:val="30"/>
          <w:szCs w:val="30"/>
        </w:rPr>
        <w:t>、二级不稳定事件，扣</w:t>
      </w:r>
      <w:r>
        <w:rPr>
          <w:rFonts w:eastAsia="楷体_GB2312" w:ascii="楷体_GB2312" w:hAnsi="楷体_GB2312"/>
          <w:b/>
          <w:sz w:val="30"/>
          <w:szCs w:val="30"/>
        </w:rPr>
        <w:t>10</w:t>
      </w:r>
      <w:r>
        <w:rPr>
          <w:rFonts w:ascii="楷体_GB2312" w:hAnsi="楷体_GB2312" w:eastAsia="楷体_GB2312"/>
          <w:b/>
          <w:sz w:val="30"/>
          <w:szCs w:val="30"/>
        </w:rPr>
        <w:t>分；</w:t>
      </w:r>
    </w:p>
    <w:p>
      <w:pPr>
        <w:pStyle w:val="Normal"/>
        <w:ind w:firstLine="435"/>
        <w:rPr>
          <w:rFonts w:ascii="楷体_GB2312" w:hAnsi="楷体_GB2312" w:eastAsia="楷体_GB2312"/>
          <w:b/>
          <w:b/>
          <w:sz w:val="30"/>
          <w:szCs w:val="30"/>
        </w:rPr>
      </w:pPr>
      <w:r>
        <w:rPr>
          <w:rFonts w:eastAsia="楷体_GB2312" w:cs="楷体_GB2312" w:ascii="楷体_GB2312" w:hAnsi="楷体_GB2312"/>
          <w:b/>
          <w:sz w:val="30"/>
          <w:szCs w:val="30"/>
        </w:rPr>
        <w:t xml:space="preserve">    </w:t>
      </w:r>
      <w:r>
        <w:rPr>
          <w:rFonts w:eastAsia="楷体_GB2312" w:ascii="楷体_GB2312" w:hAnsi="楷体_GB2312"/>
          <w:b/>
          <w:sz w:val="30"/>
          <w:szCs w:val="30"/>
        </w:rPr>
        <w:t>3</w:t>
      </w:r>
      <w:r>
        <w:rPr>
          <w:rFonts w:ascii="楷体_GB2312" w:hAnsi="楷体_GB2312" w:eastAsia="楷体_GB2312"/>
          <w:b/>
          <w:sz w:val="30"/>
          <w:szCs w:val="30"/>
        </w:rPr>
        <w:t>、三级不稳定事件，扣</w:t>
      </w:r>
      <w:r>
        <w:rPr>
          <w:rFonts w:eastAsia="楷体_GB2312" w:ascii="楷体_GB2312" w:hAnsi="楷体_GB2312"/>
          <w:b/>
          <w:sz w:val="30"/>
          <w:szCs w:val="30"/>
        </w:rPr>
        <w:t>6</w:t>
      </w:r>
      <w:r>
        <w:rPr>
          <w:rFonts w:ascii="楷体_GB2312" w:hAnsi="楷体_GB2312" w:eastAsia="楷体_GB2312"/>
          <w:b/>
          <w:sz w:val="30"/>
          <w:szCs w:val="30"/>
        </w:rPr>
        <w:t>分；</w:t>
      </w:r>
    </w:p>
    <w:p>
      <w:pPr>
        <w:pStyle w:val="Normal"/>
        <w:ind w:firstLine="435"/>
        <w:rPr>
          <w:rFonts w:ascii="楷体_GB2312" w:hAnsi="楷体_GB2312" w:eastAsia="楷体_GB2312"/>
          <w:b/>
          <w:b/>
          <w:sz w:val="30"/>
          <w:szCs w:val="30"/>
        </w:rPr>
      </w:pPr>
      <w:r>
        <w:rPr>
          <w:rFonts w:eastAsia="楷体_GB2312" w:cs="楷体_GB2312" w:ascii="楷体_GB2312" w:hAnsi="楷体_GB2312"/>
          <w:b/>
          <w:sz w:val="30"/>
          <w:szCs w:val="30"/>
        </w:rPr>
        <w:t xml:space="preserve">    </w:t>
      </w:r>
      <w:r>
        <w:rPr>
          <w:rFonts w:eastAsia="楷体_GB2312" w:ascii="楷体_GB2312" w:hAnsi="楷体_GB2312"/>
          <w:b/>
          <w:sz w:val="30"/>
          <w:szCs w:val="30"/>
        </w:rPr>
        <w:t>4</w:t>
      </w:r>
      <w:r>
        <w:rPr>
          <w:rFonts w:ascii="楷体_GB2312" w:hAnsi="楷体_GB2312" w:eastAsia="楷体_GB2312"/>
          <w:b/>
          <w:sz w:val="30"/>
          <w:szCs w:val="30"/>
        </w:rPr>
        <w:t>、四级不稳定事件，扣</w:t>
      </w:r>
      <w:r>
        <w:rPr>
          <w:rFonts w:eastAsia="楷体_GB2312" w:ascii="楷体_GB2312" w:hAnsi="楷体_GB2312"/>
          <w:b/>
          <w:sz w:val="30"/>
          <w:szCs w:val="30"/>
        </w:rPr>
        <w:t>3</w:t>
      </w:r>
      <w:r>
        <w:rPr>
          <w:rFonts w:ascii="楷体_GB2312" w:hAnsi="楷体_GB2312" w:eastAsia="楷体_GB2312"/>
          <w:b/>
          <w:sz w:val="30"/>
          <w:szCs w:val="30"/>
        </w:rPr>
        <w:t>分。</w:t>
      </w:r>
    </w:p>
    <w:p>
      <w:pPr>
        <w:pStyle w:val="Normal"/>
        <w:ind w:firstLine="435"/>
        <w:rPr>
          <w:rFonts w:ascii="楷体_GB2312" w:hAnsi="楷体_GB2312" w:eastAsia="楷体_GB2312"/>
          <w:b/>
          <w:b/>
          <w:sz w:val="30"/>
          <w:szCs w:val="30"/>
        </w:rPr>
      </w:pPr>
      <w:r>
        <w:rPr>
          <w:rFonts w:ascii="楷体_GB2312" w:hAnsi="楷体_GB2312" w:eastAsia="楷体_GB2312"/>
          <w:b/>
          <w:sz w:val="30"/>
          <w:szCs w:val="30"/>
        </w:rPr>
        <w:t>第十三条  备单位要建立健全员工绩效考核制度和考核指标体系，切实将本单位的发展目标和年度生产经营任务层层分解、逐级落实，使员工的职业生涯发展与企业发展目标相融合。</w:t>
      </w:r>
    </w:p>
    <w:p>
      <w:pPr>
        <w:pStyle w:val="Normal"/>
        <w:ind w:firstLine="435"/>
        <w:rPr>
          <w:rFonts w:ascii="楷体_GB2312" w:hAnsi="楷体_GB2312" w:eastAsia="楷体_GB2312"/>
          <w:b/>
          <w:b/>
          <w:sz w:val="30"/>
          <w:szCs w:val="30"/>
        </w:rPr>
      </w:pPr>
      <w:r>
        <w:rPr>
          <w:rFonts w:eastAsia="楷体_GB2312" w:ascii="楷体_GB2312" w:hAnsi="楷体_GB2312"/>
          <w:b/>
          <w:sz w:val="30"/>
          <w:szCs w:val="30"/>
        </w:rPr>
      </w:r>
    </w:p>
    <w:p>
      <w:pPr>
        <w:pStyle w:val="Normal"/>
        <w:jc w:val="center"/>
        <w:rPr/>
      </w:pPr>
      <w:r>
        <w:rPr>
          <w:rFonts w:ascii="楷体_GB2312" w:hAnsi="楷体_GB2312" w:eastAsia="楷体_GB2312"/>
          <w:b/>
          <w:sz w:val="30"/>
          <w:szCs w:val="30"/>
        </w:rPr>
        <w:t>第三章   考核程序和方法</w:t>
      </w:r>
    </w:p>
    <w:p>
      <w:pPr>
        <w:pStyle w:val="Normal"/>
        <w:ind w:firstLine="435"/>
        <w:rPr/>
      </w:pPr>
      <w:r>
        <w:rPr>
          <w:rFonts w:ascii="楷体_GB2312" w:hAnsi="楷体_GB2312" w:eastAsia="楷体_GB2312"/>
          <w:b/>
          <w:sz w:val="30"/>
          <w:szCs w:val="30"/>
        </w:rPr>
        <w:t>第十四条  绩效考核程序。绩效考核程序应包括</w:t>
      </w:r>
      <w:r>
        <w:rPr>
          <w:rFonts w:ascii="楷体_GB2312" w:hAnsi="楷体_GB2312" w:eastAsia="楷体_GB2312"/>
          <w:b/>
          <w:sz w:val="30"/>
          <w:szCs w:val="30"/>
          <w:u w:val="single"/>
        </w:rPr>
        <w:t>绩效计划</w:t>
      </w:r>
      <w:r>
        <w:rPr>
          <w:rFonts w:ascii="楷体_GB2312" w:hAnsi="楷体_GB2312" w:eastAsia="楷体_GB2312"/>
          <w:b/>
          <w:sz w:val="30"/>
          <w:szCs w:val="30"/>
        </w:rPr>
        <w:t>、</w:t>
      </w:r>
      <w:r>
        <w:rPr>
          <w:rFonts w:ascii="楷体_GB2312" w:hAnsi="楷体_GB2312" w:eastAsia="楷体_GB2312"/>
          <w:b/>
          <w:sz w:val="30"/>
          <w:szCs w:val="30"/>
          <w:u w:val="single"/>
        </w:rPr>
        <w:t>监控与辅导</w:t>
      </w:r>
      <w:r>
        <w:rPr>
          <w:rFonts w:ascii="楷体_GB2312" w:hAnsi="楷体_GB2312" w:eastAsia="楷体_GB2312"/>
          <w:b/>
          <w:sz w:val="30"/>
          <w:szCs w:val="30"/>
        </w:rPr>
        <w:t>、</w:t>
      </w:r>
      <w:r>
        <w:rPr>
          <w:rFonts w:ascii="楷体_GB2312" w:hAnsi="楷体_GB2312" w:eastAsia="楷体_GB2312"/>
          <w:b/>
          <w:sz w:val="30"/>
          <w:szCs w:val="30"/>
          <w:u w:val="single"/>
        </w:rPr>
        <w:t>考核与评价</w:t>
      </w:r>
      <w:r>
        <w:rPr>
          <w:rFonts w:ascii="楷体_GB2312" w:hAnsi="楷体_GB2312" w:eastAsia="楷体_GB2312"/>
          <w:b/>
          <w:sz w:val="30"/>
          <w:szCs w:val="30"/>
        </w:rPr>
        <w:t>、</w:t>
      </w:r>
      <w:r>
        <w:rPr>
          <w:rFonts w:ascii="楷体_GB2312" w:hAnsi="楷体_GB2312" w:eastAsia="楷体_GB2312"/>
          <w:b/>
          <w:sz w:val="30"/>
          <w:szCs w:val="30"/>
          <w:u w:val="single"/>
        </w:rPr>
        <w:t>反馈与沟通</w:t>
      </w:r>
      <w:r>
        <w:rPr>
          <w:rFonts w:ascii="楷体_GB2312" w:hAnsi="楷体_GB2312" w:eastAsia="楷体_GB2312"/>
          <w:b/>
          <w:sz w:val="30"/>
          <w:szCs w:val="30"/>
        </w:rPr>
        <w:t>等四个必要环节：</w:t>
      </w:r>
    </w:p>
    <w:p>
      <w:pPr>
        <w:pStyle w:val="Normal"/>
        <w:ind w:firstLine="435"/>
        <w:rPr>
          <w:rFonts w:ascii="楷体_GB2312" w:hAnsi="楷体_GB2312" w:eastAsia="楷体_GB2312"/>
          <w:b/>
          <w:b/>
          <w:sz w:val="30"/>
          <w:szCs w:val="30"/>
        </w:rPr>
      </w:pPr>
      <w:r>
        <w:rPr>
          <w:rFonts w:eastAsia="楷体_GB2312" w:ascii="楷体_GB2312" w:hAnsi="楷体_GB2312"/>
          <w:b/>
          <w:sz w:val="30"/>
          <w:szCs w:val="30"/>
        </w:rPr>
        <w:t>(</w:t>
      </w:r>
      <w:r>
        <w:rPr>
          <w:rFonts w:ascii="楷体_GB2312" w:hAnsi="楷体_GB2312" w:eastAsia="楷体_GB2312"/>
          <w:b/>
          <w:sz w:val="30"/>
          <w:szCs w:val="30"/>
        </w:rPr>
        <w:t>一</w:t>
      </w:r>
      <w:r>
        <w:rPr>
          <w:rFonts w:eastAsia="楷体_GB2312" w:ascii="楷体_GB2312" w:hAnsi="楷体_GB2312"/>
          <w:b/>
          <w:sz w:val="30"/>
          <w:szCs w:val="30"/>
        </w:rPr>
        <w:t>)</w:t>
      </w:r>
      <w:r>
        <w:rPr>
          <w:rFonts w:ascii="楷体_GB2312" w:hAnsi="楷体_GB2312" w:eastAsia="楷体_GB2312"/>
          <w:b/>
          <w:sz w:val="30"/>
          <w:szCs w:val="30"/>
        </w:rPr>
        <w:t>绩效计划：以目标管理为导向，根据绩效考核指标体系，将企业和部门绩效目标进行分解，结合岗位职责，形成员工日常的关键业务活动和工作计划。绩效计划通过签订《绩效合约》</w:t>
      </w:r>
      <w:r>
        <w:rPr>
          <w:rFonts w:eastAsia="楷体_GB2312" w:ascii="楷体_GB2312" w:hAnsi="楷体_GB2312"/>
          <w:b/>
          <w:sz w:val="30"/>
          <w:szCs w:val="30"/>
        </w:rPr>
        <w:t>(</w:t>
      </w:r>
      <w:r>
        <w:rPr>
          <w:rFonts w:ascii="楷体_GB2312" w:hAnsi="楷体_GB2312" w:eastAsia="楷体_GB2312"/>
          <w:b/>
          <w:sz w:val="30"/>
          <w:szCs w:val="30"/>
        </w:rPr>
        <w:t>详见附件二</w:t>
      </w:r>
      <w:r>
        <w:rPr>
          <w:rFonts w:eastAsia="楷体_GB2312" w:ascii="楷体_GB2312" w:hAnsi="楷体_GB2312"/>
          <w:b/>
          <w:sz w:val="30"/>
          <w:szCs w:val="30"/>
        </w:rPr>
        <w:t>)</w:t>
      </w:r>
      <w:r>
        <w:rPr>
          <w:rFonts w:ascii="楷体_GB2312" w:hAnsi="楷体_GB2312" w:eastAsia="楷体_GB2312"/>
          <w:b/>
          <w:sz w:val="30"/>
          <w:szCs w:val="30"/>
        </w:rPr>
        <w:t>的形式进行约定。</w:t>
      </w:r>
    </w:p>
    <w:p>
      <w:pPr>
        <w:pStyle w:val="Normal"/>
        <w:ind w:firstLine="435"/>
        <w:rPr>
          <w:rFonts w:ascii="楷体_GB2312" w:hAnsi="楷体_GB2312" w:eastAsia="楷体_GB2312"/>
          <w:b/>
          <w:b/>
          <w:sz w:val="30"/>
          <w:szCs w:val="30"/>
        </w:rPr>
      </w:pPr>
      <w:r>
        <w:rPr>
          <w:rFonts w:eastAsia="楷体_GB2312" w:ascii="楷体_GB2312" w:hAnsi="楷体_GB2312"/>
          <w:b/>
          <w:sz w:val="30"/>
          <w:szCs w:val="30"/>
        </w:rPr>
        <w:t>(</w:t>
      </w:r>
      <w:r>
        <w:rPr>
          <w:rFonts w:ascii="楷体_GB2312" w:hAnsi="楷体_GB2312" w:eastAsia="楷体_GB2312"/>
          <w:b/>
          <w:sz w:val="30"/>
          <w:szCs w:val="30"/>
        </w:rPr>
        <w:t>二</w:t>
      </w:r>
      <w:r>
        <w:rPr>
          <w:rFonts w:eastAsia="楷体_GB2312" w:ascii="楷体_GB2312" w:hAnsi="楷体_GB2312"/>
          <w:b/>
          <w:sz w:val="30"/>
          <w:szCs w:val="30"/>
        </w:rPr>
        <w:t>)</w:t>
      </w:r>
      <w:r>
        <w:rPr>
          <w:rFonts w:ascii="楷体_GB2312" w:hAnsi="楷体_GB2312" w:eastAsia="楷体_GB2312"/>
          <w:b/>
          <w:sz w:val="30"/>
          <w:szCs w:val="30"/>
        </w:rPr>
        <w:t>绩效监控与辅导：直接主管必须全程追踪绩效计划进展情况，及时纠正员工行为与工作目标之间可能出现的偏离，寻找绩效问题与原因，探求提高绩效的方法，并对员工进行必要的辅导，促进绩效计划的实现。</w:t>
      </w:r>
    </w:p>
    <w:p>
      <w:pPr>
        <w:pStyle w:val="Normal"/>
        <w:ind w:firstLine="435"/>
        <w:rPr>
          <w:rFonts w:ascii="楷体_GB2312" w:hAnsi="楷体_GB2312" w:eastAsia="楷体_GB2312"/>
          <w:b/>
          <w:b/>
          <w:sz w:val="30"/>
          <w:szCs w:val="30"/>
        </w:rPr>
      </w:pPr>
      <w:r>
        <w:rPr>
          <w:rFonts w:eastAsia="楷体_GB2312" w:ascii="楷体_GB2312" w:hAnsi="楷体_GB2312"/>
          <w:b/>
          <w:sz w:val="30"/>
          <w:szCs w:val="30"/>
        </w:rPr>
        <w:t>(</w:t>
      </w:r>
      <w:r>
        <w:rPr>
          <w:rFonts w:ascii="楷体_GB2312" w:hAnsi="楷体_GB2312" w:eastAsia="楷体_GB2312"/>
          <w:b/>
          <w:sz w:val="30"/>
          <w:szCs w:val="30"/>
        </w:rPr>
        <w:t>三</w:t>
      </w:r>
      <w:r>
        <w:rPr>
          <w:rFonts w:eastAsia="楷体_GB2312" w:ascii="楷体_GB2312" w:hAnsi="楷体_GB2312"/>
          <w:b/>
          <w:sz w:val="30"/>
          <w:szCs w:val="30"/>
        </w:rPr>
        <w:t>)</w:t>
      </w:r>
      <w:r>
        <w:rPr>
          <w:rFonts w:ascii="楷体_GB2312" w:hAnsi="楷体_GB2312" w:eastAsia="楷体_GB2312"/>
          <w:b/>
          <w:sz w:val="30"/>
          <w:szCs w:val="30"/>
        </w:rPr>
        <w:t>绩效评价与考核：按照绩效计划确定的工作任务与目标、评价标准，从数量、质量、效率、效果等方面对工作业绩进行评价与考核。按照员工对应的工作能力和工作态度考核指标及考核周期，进行工作行为评价与考核。</w:t>
      </w:r>
    </w:p>
    <w:p>
      <w:pPr>
        <w:pStyle w:val="Normal"/>
        <w:ind w:firstLine="435"/>
        <w:rPr>
          <w:rFonts w:ascii="楷体_GB2312" w:hAnsi="楷体_GB2312" w:eastAsia="楷体_GB2312"/>
          <w:b/>
          <w:b/>
          <w:sz w:val="30"/>
          <w:szCs w:val="30"/>
        </w:rPr>
      </w:pPr>
      <w:r>
        <w:rPr>
          <w:rFonts w:eastAsia="楷体_GB2312" w:ascii="楷体_GB2312" w:hAnsi="楷体_GB2312"/>
          <w:b/>
          <w:sz w:val="30"/>
          <w:szCs w:val="30"/>
        </w:rPr>
        <w:t>(</w:t>
      </w:r>
      <w:r>
        <w:rPr>
          <w:rFonts w:ascii="楷体_GB2312" w:hAnsi="楷体_GB2312" w:eastAsia="楷体_GB2312"/>
          <w:b/>
          <w:sz w:val="30"/>
          <w:szCs w:val="30"/>
        </w:rPr>
        <w:t>四</w:t>
      </w:r>
      <w:r>
        <w:rPr>
          <w:rFonts w:eastAsia="楷体_GB2312" w:ascii="楷体_GB2312" w:hAnsi="楷体_GB2312"/>
          <w:b/>
          <w:sz w:val="30"/>
          <w:szCs w:val="30"/>
        </w:rPr>
        <w:t>)</w:t>
      </w:r>
      <w:r>
        <w:rPr>
          <w:rFonts w:ascii="楷体_GB2312" w:hAnsi="楷体_GB2312" w:eastAsia="楷体_GB2312"/>
          <w:b/>
          <w:sz w:val="30"/>
          <w:szCs w:val="30"/>
        </w:rPr>
        <w:t>沟通和反馈：从绩效计划的订立、执行、评价的整个过程，直接主管都要注重与员工的沟通。绩效评价完成后，直接主管必须同被考核者进行面谈，并将考核结果反馈给被考核者。绩效沟通和反馈的目的在于肯定成绩、指出问题、交流意见，共同分析期望与结果之间存在差异的原因，提出相应的改进措施。</w:t>
      </w:r>
    </w:p>
    <w:p>
      <w:pPr>
        <w:pStyle w:val="Normal"/>
        <w:ind w:firstLine="435"/>
        <w:rPr>
          <w:rFonts w:ascii="楷体_GB2312" w:hAnsi="楷体_GB2312" w:eastAsia="楷体_GB2312"/>
          <w:b/>
          <w:b/>
          <w:sz w:val="30"/>
          <w:szCs w:val="30"/>
        </w:rPr>
      </w:pPr>
      <w:r>
        <w:rPr>
          <w:rFonts w:ascii="楷体_GB2312" w:hAnsi="楷体_GB2312" w:eastAsia="楷体_GB2312"/>
          <w:b/>
          <w:sz w:val="30"/>
          <w:szCs w:val="30"/>
        </w:rPr>
        <w:t>第十五条  评价方法的确定。原则上工作业绩的评价主要采用目标管理法，工作能力和工作态度的评价主要采用量表法。各单位应对每项评价指标制定相应的考核标准，用统一客观尺度评价员工的绩效。</w:t>
      </w:r>
    </w:p>
    <w:p>
      <w:pPr>
        <w:pStyle w:val="Normal"/>
        <w:ind w:firstLine="435"/>
        <w:rPr/>
      </w:pPr>
      <w:r>
        <w:rPr>
          <w:rFonts w:eastAsia="楷体_GB2312" w:cs="楷体_GB2312" w:ascii="楷体_GB2312" w:hAnsi="楷体_GB2312"/>
          <w:b/>
          <w:sz w:val="30"/>
          <w:szCs w:val="30"/>
        </w:rPr>
        <w:t xml:space="preserve">  </w:t>
      </w:r>
      <w:r>
        <w:rPr>
          <w:rFonts w:ascii="楷体_GB2312" w:hAnsi="楷体_GB2312" w:eastAsia="楷体_GB2312"/>
          <w:b/>
          <w:sz w:val="30"/>
          <w:szCs w:val="30"/>
        </w:rPr>
        <w:t>第十六条  考核方式的确定。根据考核目的和考核对象的不同，绩效考核的主体可以根据实际需要选择。</w:t>
      </w:r>
    </w:p>
    <w:p>
      <w:pPr>
        <w:pStyle w:val="Normal"/>
        <w:ind w:firstLine="435"/>
        <w:rPr/>
      </w:pPr>
      <w:r>
        <w:rPr>
          <w:rFonts w:eastAsia="楷体_GB2312" w:cs="楷体_GB2312" w:ascii="楷体_GB2312" w:hAnsi="楷体_GB2312"/>
          <w:b/>
          <w:sz w:val="30"/>
          <w:szCs w:val="30"/>
        </w:rPr>
        <w:t xml:space="preserve">  </w:t>
      </w:r>
      <w:r>
        <w:rPr>
          <w:rFonts w:eastAsia="楷体_GB2312" w:ascii="楷体_GB2312" w:hAnsi="楷体_GB2312"/>
          <w:b/>
          <w:sz w:val="30"/>
          <w:szCs w:val="30"/>
        </w:rPr>
        <w:t>(</w:t>
      </w:r>
      <w:r>
        <w:rPr>
          <w:rFonts w:ascii="楷体_GB2312" w:hAnsi="楷体_GB2312" w:eastAsia="楷体_GB2312"/>
          <w:b/>
          <w:sz w:val="30"/>
          <w:szCs w:val="30"/>
        </w:rPr>
        <w:t>一</w:t>
      </w:r>
      <w:r>
        <w:rPr>
          <w:rFonts w:eastAsia="楷体_GB2312" w:ascii="楷体_GB2312" w:hAnsi="楷体_GB2312"/>
          <w:b/>
          <w:sz w:val="30"/>
          <w:szCs w:val="30"/>
        </w:rPr>
        <w:t>)</w:t>
      </w:r>
      <w:r>
        <w:rPr>
          <w:rFonts w:ascii="楷体_GB2312" w:hAnsi="楷体_GB2312" w:eastAsia="楷体_GB2312"/>
          <w:b/>
          <w:sz w:val="30"/>
          <w:szCs w:val="30"/>
        </w:rPr>
        <w:t>自评：被考核者按考核要求，实事求是地对工作行为及所完成的工作项目、完成时间、效果等，进行自我评价；</w:t>
      </w:r>
    </w:p>
    <w:p>
      <w:pPr>
        <w:pStyle w:val="Normal"/>
        <w:ind w:firstLine="435"/>
        <w:rPr/>
      </w:pPr>
      <w:r>
        <w:rPr>
          <w:rFonts w:eastAsia="楷体_GB2312" w:cs="楷体_GB2312" w:ascii="楷体_GB2312" w:hAnsi="楷体_GB2312"/>
          <w:b/>
          <w:sz w:val="30"/>
          <w:szCs w:val="30"/>
        </w:rPr>
        <w:t xml:space="preserve">  </w:t>
      </w:r>
      <w:r>
        <w:rPr>
          <w:rFonts w:eastAsia="楷体_GB2312" w:ascii="楷体_GB2312" w:hAnsi="楷体_GB2312"/>
          <w:b/>
          <w:sz w:val="30"/>
          <w:szCs w:val="30"/>
        </w:rPr>
        <w:t>(</w:t>
      </w:r>
      <w:r>
        <w:rPr>
          <w:rFonts w:ascii="楷体_GB2312" w:hAnsi="楷体_GB2312" w:eastAsia="楷体_GB2312"/>
          <w:b/>
          <w:sz w:val="30"/>
          <w:szCs w:val="30"/>
        </w:rPr>
        <w:t>二</w:t>
      </w:r>
      <w:r>
        <w:rPr>
          <w:rFonts w:eastAsia="楷体_GB2312" w:ascii="楷体_GB2312" w:hAnsi="楷体_GB2312"/>
          <w:b/>
          <w:sz w:val="30"/>
          <w:szCs w:val="30"/>
        </w:rPr>
        <w:t>)</w:t>
      </w:r>
      <w:r>
        <w:rPr>
          <w:rFonts w:ascii="楷体_GB2312" w:hAnsi="楷体_GB2312" w:eastAsia="楷体_GB2312"/>
          <w:b/>
          <w:sz w:val="30"/>
          <w:szCs w:val="30"/>
        </w:rPr>
        <w:t>上级考评：由熟悉被考核者工作情况的直接主管负责进行评价考核；</w:t>
      </w:r>
    </w:p>
    <w:p>
      <w:pPr>
        <w:pStyle w:val="Normal"/>
        <w:ind w:firstLine="435"/>
        <w:rPr/>
      </w:pPr>
      <w:r>
        <w:rPr>
          <w:rFonts w:eastAsia="楷体_GB2312" w:cs="楷体_GB2312" w:ascii="楷体_GB2312" w:hAnsi="楷体_GB2312"/>
          <w:b/>
          <w:sz w:val="30"/>
          <w:szCs w:val="30"/>
        </w:rPr>
        <w:t xml:space="preserve">  </w:t>
      </w:r>
      <w:r>
        <w:rPr>
          <w:rFonts w:eastAsia="楷体_GB2312" w:ascii="楷体_GB2312" w:hAnsi="楷体_GB2312"/>
          <w:b/>
          <w:sz w:val="30"/>
          <w:szCs w:val="30"/>
        </w:rPr>
        <w:t>(</w:t>
      </w:r>
      <w:r>
        <w:rPr>
          <w:rFonts w:ascii="楷体_GB2312" w:hAnsi="楷体_GB2312" w:eastAsia="楷体_GB2312"/>
          <w:b/>
          <w:sz w:val="30"/>
          <w:szCs w:val="30"/>
        </w:rPr>
        <w:t>三</w:t>
      </w:r>
      <w:r>
        <w:rPr>
          <w:rFonts w:eastAsia="楷体_GB2312" w:ascii="楷体_GB2312" w:hAnsi="楷体_GB2312"/>
          <w:b/>
          <w:sz w:val="30"/>
          <w:szCs w:val="30"/>
        </w:rPr>
        <w:t>)</w:t>
      </w:r>
      <w:r>
        <w:rPr>
          <w:rFonts w:ascii="楷体_GB2312" w:hAnsi="楷体_GB2312" w:eastAsia="楷体_GB2312"/>
          <w:b/>
          <w:sz w:val="30"/>
          <w:szCs w:val="30"/>
        </w:rPr>
        <w:t>民主测评：主要由被服务对象对被考核人进行民主测评，采取由各基层单位员工代表等有关人员组成的考评小组评价或供电等企业接受外部客户评价，主要用于员工工作态度的评价。</w:t>
      </w:r>
    </w:p>
    <w:p>
      <w:pPr>
        <w:pStyle w:val="Normal"/>
        <w:ind w:firstLine="435"/>
        <w:rPr/>
      </w:pPr>
      <w:r>
        <w:rPr>
          <w:rFonts w:eastAsia="楷体_GB2312" w:cs="楷体_GB2312" w:ascii="楷体_GB2312" w:hAnsi="楷体_GB2312"/>
          <w:b/>
          <w:sz w:val="30"/>
          <w:szCs w:val="30"/>
        </w:rPr>
        <w:t xml:space="preserve">  </w:t>
      </w:r>
      <w:r>
        <w:rPr>
          <w:rFonts w:ascii="楷体_GB2312" w:hAnsi="楷体_GB2312" w:eastAsia="楷体_GB2312"/>
          <w:b/>
          <w:sz w:val="30"/>
          <w:szCs w:val="30"/>
        </w:rPr>
        <w:t>第十七条  考评采用日常考评与半年度、年度考评相结合的方式。</w:t>
      </w:r>
    </w:p>
    <w:p>
      <w:pPr>
        <w:pStyle w:val="Normal"/>
        <w:ind w:firstLine="435"/>
        <w:rPr/>
      </w:pPr>
      <w:r>
        <w:rPr>
          <w:rFonts w:eastAsia="楷体_GB2312" w:cs="楷体_GB2312" w:ascii="楷体_GB2312" w:hAnsi="楷体_GB2312"/>
          <w:b/>
          <w:sz w:val="30"/>
          <w:szCs w:val="30"/>
        </w:rPr>
        <w:t xml:space="preserve"> </w:t>
      </w:r>
      <w:r>
        <w:rPr>
          <w:rFonts w:eastAsia="楷体_GB2312" w:ascii="楷体_GB2312" w:hAnsi="楷体_GB2312"/>
          <w:b/>
          <w:sz w:val="30"/>
          <w:szCs w:val="30"/>
        </w:rPr>
        <w:t>(</w:t>
      </w:r>
      <w:r>
        <w:rPr>
          <w:rFonts w:ascii="楷体_GB2312" w:hAnsi="楷体_GB2312" w:eastAsia="楷体_GB2312"/>
          <w:b/>
          <w:sz w:val="30"/>
          <w:szCs w:val="30"/>
        </w:rPr>
        <w:t>一</w:t>
      </w:r>
      <w:r>
        <w:rPr>
          <w:rFonts w:eastAsia="楷体_GB2312" w:ascii="楷体_GB2312" w:hAnsi="楷体_GB2312"/>
          <w:b/>
          <w:sz w:val="30"/>
          <w:szCs w:val="30"/>
        </w:rPr>
        <w:t>)</w:t>
      </w:r>
      <w:r>
        <w:rPr>
          <w:rFonts w:ascii="楷体_GB2312" w:hAnsi="楷体_GB2312" w:eastAsia="楷体_GB2312"/>
          <w:b/>
          <w:sz w:val="30"/>
          <w:szCs w:val="30"/>
        </w:rPr>
        <w:t>日常考评主要评价工作业绩和工作态度，以月度或季度为周期，采用上级对部门下级评价的方式；</w:t>
      </w:r>
    </w:p>
    <w:p>
      <w:pPr>
        <w:pStyle w:val="Normal"/>
        <w:ind w:firstLine="435"/>
        <w:rPr/>
      </w:pPr>
      <w:r>
        <w:rPr>
          <w:rFonts w:eastAsia="楷体_GB2312" w:cs="楷体_GB2312" w:ascii="楷体_GB2312" w:hAnsi="楷体_GB2312"/>
          <w:b/>
          <w:sz w:val="30"/>
          <w:szCs w:val="30"/>
        </w:rPr>
        <w:t xml:space="preserve"> </w:t>
      </w:r>
      <w:r>
        <w:rPr>
          <w:rFonts w:eastAsia="楷体_GB2312" w:ascii="楷体_GB2312" w:hAnsi="楷体_GB2312"/>
          <w:b/>
          <w:sz w:val="30"/>
          <w:szCs w:val="30"/>
        </w:rPr>
        <w:t>(</w:t>
      </w:r>
      <w:r>
        <w:rPr>
          <w:rFonts w:ascii="楷体_GB2312" w:hAnsi="楷体_GB2312" w:eastAsia="楷体_GB2312"/>
          <w:b/>
          <w:sz w:val="30"/>
          <w:szCs w:val="30"/>
        </w:rPr>
        <w:t>二</w:t>
      </w:r>
      <w:r>
        <w:rPr>
          <w:rFonts w:eastAsia="楷体_GB2312" w:ascii="楷体_GB2312" w:hAnsi="楷体_GB2312"/>
          <w:b/>
          <w:sz w:val="30"/>
          <w:szCs w:val="30"/>
        </w:rPr>
        <w:t>)</w:t>
      </w:r>
      <w:r>
        <w:rPr>
          <w:rFonts w:ascii="楷体_GB2312" w:hAnsi="楷体_GB2312" w:eastAsia="楷体_GB2312"/>
          <w:b/>
          <w:sz w:val="30"/>
          <w:szCs w:val="30"/>
        </w:rPr>
        <w:t>半年度、年度考评是对年度工作业绩、工作能力和工作态度进行综合评价。</w:t>
      </w:r>
    </w:p>
    <w:p>
      <w:pPr>
        <w:pStyle w:val="Normal"/>
        <w:ind w:firstLine="435"/>
        <w:rPr/>
      </w:pPr>
      <w:r>
        <w:rPr>
          <w:rFonts w:eastAsia="楷体_GB2312" w:cs="楷体_GB2312" w:ascii="楷体_GB2312" w:hAnsi="楷体_GB2312"/>
          <w:b/>
          <w:sz w:val="30"/>
          <w:szCs w:val="30"/>
        </w:rPr>
        <w:t xml:space="preserve">   </w:t>
      </w:r>
      <w:r>
        <w:rPr>
          <w:rFonts w:eastAsia="楷体_GB2312" w:ascii="楷体_GB2312" w:hAnsi="楷体_GB2312"/>
          <w:b/>
          <w:sz w:val="30"/>
          <w:szCs w:val="30"/>
        </w:rPr>
        <w:t>1</w:t>
      </w:r>
      <w:r>
        <w:rPr>
          <w:rFonts w:ascii="楷体_GB2312" w:hAnsi="楷体_GB2312" w:eastAsia="楷体_GB2312"/>
          <w:b/>
          <w:sz w:val="30"/>
          <w:szCs w:val="30"/>
        </w:rPr>
        <w:t>、工作业绩按考核期累积考评分的平均分计算；</w:t>
      </w:r>
    </w:p>
    <w:p>
      <w:pPr>
        <w:pStyle w:val="Normal"/>
        <w:ind w:firstLine="435"/>
        <w:rPr/>
      </w:pPr>
      <w:r>
        <w:rPr>
          <w:rFonts w:eastAsia="楷体_GB2312" w:cs="楷体_GB2312" w:ascii="楷体_GB2312" w:hAnsi="楷体_GB2312"/>
          <w:b/>
          <w:sz w:val="30"/>
          <w:szCs w:val="30"/>
        </w:rPr>
        <w:t xml:space="preserve">   </w:t>
      </w:r>
      <w:r>
        <w:rPr>
          <w:rFonts w:eastAsia="楷体_GB2312" w:ascii="楷体_GB2312" w:hAnsi="楷体_GB2312"/>
          <w:b/>
          <w:sz w:val="30"/>
          <w:szCs w:val="30"/>
        </w:rPr>
        <w:t>2</w:t>
      </w:r>
      <w:r>
        <w:rPr>
          <w:rFonts w:ascii="楷体_GB2312" w:hAnsi="楷体_GB2312" w:eastAsia="楷体_GB2312"/>
          <w:b/>
          <w:sz w:val="30"/>
          <w:szCs w:val="30"/>
        </w:rPr>
        <w:t>、工作能力和工作态度考评。</w:t>
      </w:r>
    </w:p>
    <w:p>
      <w:pPr>
        <w:pStyle w:val="Normal"/>
        <w:ind w:firstLine="435"/>
        <w:rPr/>
      </w:pPr>
      <w:r>
        <w:rPr>
          <w:rFonts w:eastAsia="楷体_GB2312" w:cs="楷体_GB2312" w:ascii="楷体_GB2312" w:hAnsi="楷体_GB2312"/>
          <w:b/>
          <w:sz w:val="30"/>
          <w:szCs w:val="30"/>
        </w:rPr>
        <w:t xml:space="preserve">   </w:t>
      </w:r>
      <w:r>
        <w:rPr>
          <w:rFonts w:eastAsia="楷体_GB2312" w:ascii="楷体_GB2312" w:hAnsi="楷体_GB2312"/>
          <w:b/>
          <w:sz w:val="30"/>
          <w:szCs w:val="30"/>
        </w:rPr>
        <w:t>(1)</w:t>
      </w:r>
      <w:r>
        <w:rPr>
          <w:rFonts w:ascii="楷体_GB2312" w:hAnsi="楷体_GB2312" w:eastAsia="楷体_GB2312"/>
          <w:b/>
          <w:sz w:val="30"/>
          <w:szCs w:val="30"/>
        </w:rPr>
        <w:t>中层管理人员采用自评与民主测评相结合的方式。自评采用述职述廉方式；民主测评由本单位负责人</w:t>
      </w:r>
      <w:r>
        <w:rPr>
          <w:rFonts w:eastAsia="楷体_GB2312" w:ascii="楷体_GB2312" w:hAnsi="楷体_GB2312"/>
          <w:b/>
          <w:sz w:val="30"/>
          <w:szCs w:val="30"/>
        </w:rPr>
        <w:t>(</w:t>
      </w:r>
      <w:r>
        <w:rPr>
          <w:rFonts w:ascii="楷体_GB2312" w:hAnsi="楷体_GB2312" w:eastAsia="楷体_GB2312"/>
          <w:b/>
          <w:sz w:val="30"/>
          <w:szCs w:val="30"/>
        </w:rPr>
        <w:t>权重为</w:t>
      </w:r>
      <w:r>
        <w:rPr>
          <w:rFonts w:eastAsia="楷体_GB2312" w:ascii="楷体_GB2312" w:hAnsi="楷体_GB2312"/>
          <w:b/>
          <w:sz w:val="30"/>
          <w:szCs w:val="30"/>
        </w:rPr>
        <w:t>60</w:t>
      </w:r>
      <w:r>
        <w:rPr>
          <w:rFonts w:ascii="楷体_GB2312" w:hAnsi="楷体_GB2312" w:eastAsia="楷体_GB2312"/>
          <w:b/>
          <w:sz w:val="30"/>
          <w:szCs w:val="30"/>
        </w:rPr>
        <w:t>％</w:t>
      </w:r>
      <w:r>
        <w:rPr>
          <w:rFonts w:eastAsia="楷体_GB2312" w:ascii="楷体_GB2312" w:hAnsi="楷体_GB2312"/>
          <w:b/>
          <w:sz w:val="30"/>
          <w:szCs w:val="30"/>
        </w:rPr>
        <w:t>)</w:t>
      </w:r>
      <w:r>
        <w:rPr>
          <w:rFonts w:ascii="楷体_GB2312" w:hAnsi="楷体_GB2312" w:eastAsia="楷体_GB2312"/>
          <w:b/>
          <w:sz w:val="30"/>
          <w:szCs w:val="30"/>
        </w:rPr>
        <w:t>、中层管理人员和员工代表</w:t>
      </w:r>
      <w:r>
        <w:rPr>
          <w:rFonts w:eastAsia="楷体_GB2312" w:ascii="楷体_GB2312" w:hAnsi="楷体_GB2312"/>
          <w:b/>
          <w:sz w:val="30"/>
          <w:szCs w:val="30"/>
        </w:rPr>
        <w:t>(</w:t>
      </w:r>
      <w:r>
        <w:rPr>
          <w:rFonts w:ascii="楷体_GB2312" w:hAnsi="楷体_GB2312" w:eastAsia="楷体_GB2312"/>
          <w:b/>
          <w:sz w:val="30"/>
          <w:szCs w:val="30"/>
        </w:rPr>
        <w:t>权重为</w:t>
      </w:r>
      <w:r>
        <w:rPr>
          <w:rFonts w:eastAsia="楷体_GB2312" w:ascii="楷体_GB2312" w:hAnsi="楷体_GB2312"/>
          <w:b/>
          <w:sz w:val="30"/>
          <w:szCs w:val="30"/>
        </w:rPr>
        <w:t>4 O</w:t>
      </w:r>
      <w:r>
        <w:rPr>
          <w:rFonts w:ascii="楷体_GB2312" w:hAnsi="楷体_GB2312" w:eastAsia="楷体_GB2312"/>
          <w:b/>
          <w:sz w:val="30"/>
          <w:szCs w:val="30"/>
        </w:rPr>
        <w:t>％</w:t>
      </w:r>
      <w:r>
        <w:rPr>
          <w:rFonts w:eastAsia="楷体_GB2312" w:ascii="楷体_GB2312" w:hAnsi="楷体_GB2312"/>
          <w:b/>
          <w:sz w:val="30"/>
          <w:szCs w:val="30"/>
        </w:rPr>
        <w:t>)</w:t>
      </w:r>
      <w:r>
        <w:rPr>
          <w:rFonts w:ascii="楷体_GB2312" w:hAnsi="楷体_GB2312" w:eastAsia="楷体_GB2312"/>
          <w:b/>
          <w:sz w:val="30"/>
          <w:szCs w:val="30"/>
        </w:rPr>
        <w:t>参加，在企业半年度工作会和年度工作会期间完成。</w:t>
      </w:r>
    </w:p>
    <w:p>
      <w:pPr>
        <w:pStyle w:val="Normal"/>
        <w:ind w:firstLine="435"/>
        <w:rPr/>
      </w:pPr>
      <w:r>
        <w:rPr>
          <w:rFonts w:eastAsia="楷体_GB2312" w:cs="楷体_GB2312" w:ascii="楷体_GB2312" w:hAnsi="楷体_GB2312"/>
          <w:b/>
          <w:sz w:val="30"/>
          <w:szCs w:val="30"/>
        </w:rPr>
        <w:t xml:space="preserve">   </w:t>
      </w:r>
      <w:r>
        <w:rPr>
          <w:rFonts w:eastAsia="楷体_GB2312" w:ascii="楷体_GB2312" w:hAnsi="楷体_GB2312"/>
          <w:b/>
          <w:sz w:val="30"/>
          <w:szCs w:val="30"/>
        </w:rPr>
        <w:t>(2)</w:t>
      </w:r>
      <w:r>
        <w:rPr>
          <w:rFonts w:ascii="楷体_GB2312" w:hAnsi="楷体_GB2312" w:eastAsia="楷体_GB2312"/>
          <w:b/>
          <w:sz w:val="30"/>
          <w:szCs w:val="30"/>
        </w:rPr>
        <w:t>班站负责人采用自评与民主测评相结合的方式。自评采用述职方式；民主测评由直接上级</w:t>
      </w:r>
      <w:r>
        <w:rPr>
          <w:rFonts w:eastAsia="楷体_GB2312" w:ascii="楷体_GB2312" w:hAnsi="楷体_GB2312"/>
          <w:b/>
          <w:sz w:val="30"/>
          <w:szCs w:val="30"/>
        </w:rPr>
        <w:t>(</w:t>
      </w:r>
      <w:r>
        <w:rPr>
          <w:rFonts w:ascii="楷体_GB2312" w:hAnsi="楷体_GB2312" w:eastAsia="楷体_GB2312"/>
          <w:b/>
          <w:sz w:val="30"/>
          <w:szCs w:val="30"/>
        </w:rPr>
        <w:t>权重为</w:t>
      </w:r>
      <w:r>
        <w:rPr>
          <w:rFonts w:eastAsia="楷体_GB2312" w:ascii="楷体_GB2312" w:hAnsi="楷体_GB2312"/>
          <w:b/>
          <w:sz w:val="30"/>
          <w:szCs w:val="30"/>
        </w:rPr>
        <w:t>60</w:t>
      </w:r>
      <w:r>
        <w:rPr>
          <w:rFonts w:ascii="楷体_GB2312" w:hAnsi="楷体_GB2312" w:eastAsia="楷体_GB2312"/>
          <w:b/>
          <w:sz w:val="30"/>
          <w:szCs w:val="30"/>
        </w:rPr>
        <w:t>％</w:t>
      </w:r>
      <w:r>
        <w:rPr>
          <w:rFonts w:eastAsia="楷体_GB2312" w:ascii="楷体_GB2312" w:hAnsi="楷体_GB2312"/>
          <w:b/>
          <w:sz w:val="30"/>
          <w:szCs w:val="30"/>
        </w:rPr>
        <w:t>)</w:t>
      </w:r>
      <w:r>
        <w:rPr>
          <w:rFonts w:ascii="楷体_GB2312" w:hAnsi="楷体_GB2312" w:eastAsia="楷体_GB2312"/>
          <w:b/>
          <w:sz w:val="30"/>
          <w:szCs w:val="30"/>
        </w:rPr>
        <w:t>、技术管理部门人员</w:t>
      </w:r>
      <w:r>
        <w:rPr>
          <w:rFonts w:eastAsia="楷体_GB2312" w:ascii="楷体_GB2312" w:hAnsi="楷体_GB2312"/>
          <w:b/>
          <w:sz w:val="30"/>
          <w:szCs w:val="30"/>
        </w:rPr>
        <w:t>(</w:t>
      </w:r>
      <w:r>
        <w:rPr>
          <w:rFonts w:ascii="楷体_GB2312" w:hAnsi="楷体_GB2312" w:eastAsia="楷体_GB2312"/>
          <w:b/>
          <w:sz w:val="30"/>
          <w:szCs w:val="30"/>
        </w:rPr>
        <w:t>权重为</w:t>
      </w:r>
      <w:r>
        <w:rPr>
          <w:rFonts w:eastAsia="楷体_GB2312" w:ascii="楷体_GB2312" w:hAnsi="楷体_GB2312"/>
          <w:b/>
          <w:sz w:val="30"/>
          <w:szCs w:val="30"/>
        </w:rPr>
        <w:t>40</w:t>
      </w:r>
      <w:r>
        <w:rPr>
          <w:rFonts w:ascii="楷体_GB2312" w:hAnsi="楷体_GB2312" w:eastAsia="楷体_GB2312"/>
          <w:b/>
          <w:sz w:val="30"/>
          <w:szCs w:val="30"/>
        </w:rPr>
        <w:t>％</w:t>
      </w:r>
      <w:r>
        <w:rPr>
          <w:rFonts w:eastAsia="楷体_GB2312" w:ascii="楷体_GB2312" w:hAnsi="楷体_GB2312"/>
          <w:b/>
          <w:sz w:val="30"/>
          <w:szCs w:val="30"/>
        </w:rPr>
        <w:t>)</w:t>
      </w:r>
      <w:r>
        <w:rPr>
          <w:rFonts w:ascii="楷体_GB2312" w:hAnsi="楷体_GB2312" w:eastAsia="楷体_GB2312"/>
          <w:b/>
          <w:sz w:val="30"/>
          <w:szCs w:val="30"/>
        </w:rPr>
        <w:t>参加，在半年度工作会和年度工作会前完成。</w:t>
      </w:r>
    </w:p>
    <w:p>
      <w:pPr>
        <w:pStyle w:val="Normal"/>
        <w:ind w:firstLine="435"/>
        <w:rPr/>
      </w:pPr>
      <w:r>
        <w:rPr>
          <w:rFonts w:eastAsia="楷体_GB2312" w:cs="楷体_GB2312" w:ascii="楷体_GB2312" w:hAnsi="楷体_GB2312"/>
          <w:b/>
          <w:sz w:val="30"/>
          <w:szCs w:val="30"/>
        </w:rPr>
        <w:t xml:space="preserve">  </w:t>
      </w:r>
      <w:r>
        <w:rPr>
          <w:rFonts w:eastAsia="楷体_GB2312" w:ascii="楷体_GB2312" w:hAnsi="楷体_GB2312"/>
          <w:b/>
          <w:sz w:val="30"/>
          <w:szCs w:val="30"/>
        </w:rPr>
        <w:t>(3)</w:t>
      </w:r>
      <w:r>
        <w:rPr>
          <w:rFonts w:ascii="楷体_GB2312" w:hAnsi="楷体_GB2312" w:eastAsia="楷体_GB2312"/>
          <w:b/>
          <w:sz w:val="30"/>
          <w:szCs w:val="30"/>
        </w:rPr>
        <w:t>其他员工。工作态度按考核期累积考评分的平均分计算。涉及服务、对外窗口的人员半年度、年度工作态度考评由各单位结合实际制定考核评分办法；工作能力由直接主管负责进行评价与考核。</w:t>
      </w:r>
    </w:p>
    <w:p>
      <w:pPr>
        <w:pStyle w:val="Normal"/>
        <w:ind w:firstLine="435"/>
        <w:rPr/>
      </w:pPr>
      <w:r>
        <w:rPr>
          <w:rFonts w:eastAsia="楷体_GB2312" w:cs="楷体_GB2312" w:ascii="楷体_GB2312" w:hAnsi="楷体_GB2312"/>
          <w:b/>
          <w:sz w:val="30"/>
          <w:szCs w:val="30"/>
        </w:rPr>
        <w:t xml:space="preserve"> </w:t>
      </w:r>
      <w:r>
        <w:rPr>
          <w:rFonts w:ascii="楷体_GB2312" w:hAnsi="楷体_GB2312" w:eastAsia="楷体_GB2312"/>
          <w:b/>
          <w:sz w:val="30"/>
          <w:szCs w:val="30"/>
        </w:rPr>
        <w:t>第十八条  绩效考核结果分为杰出</w:t>
      </w:r>
      <w:r>
        <w:rPr>
          <w:rFonts w:eastAsia="楷体_GB2312" w:ascii="楷体_GB2312" w:hAnsi="楷体_GB2312"/>
          <w:b/>
          <w:sz w:val="30"/>
          <w:szCs w:val="30"/>
        </w:rPr>
        <w:t>A[100</w:t>
      </w:r>
      <w:r>
        <w:rPr>
          <w:rFonts w:ascii="楷体_GB2312" w:hAnsi="楷体_GB2312" w:eastAsia="楷体_GB2312"/>
          <w:b/>
          <w:sz w:val="30"/>
          <w:szCs w:val="30"/>
        </w:rPr>
        <w:t>，</w:t>
      </w:r>
      <w:r>
        <w:rPr>
          <w:rFonts w:eastAsia="楷体_GB2312" w:ascii="楷体_GB2312" w:hAnsi="楷体_GB2312"/>
          <w:b/>
          <w:sz w:val="30"/>
          <w:szCs w:val="30"/>
        </w:rPr>
        <w:t>105]</w:t>
      </w:r>
      <w:r>
        <w:rPr>
          <w:rFonts w:ascii="楷体_GB2312" w:hAnsi="楷体_GB2312" w:eastAsia="楷体_GB2312"/>
          <w:b/>
          <w:sz w:val="30"/>
          <w:szCs w:val="30"/>
        </w:rPr>
        <w:t>、优秀</w:t>
      </w:r>
      <w:r>
        <w:rPr>
          <w:rFonts w:eastAsia="楷体_GB2312" w:ascii="楷体_GB2312" w:hAnsi="楷体_GB2312"/>
          <w:b/>
          <w:sz w:val="30"/>
          <w:szCs w:val="30"/>
        </w:rPr>
        <w:t>B[95</w:t>
      </w:r>
      <w:r>
        <w:rPr>
          <w:rFonts w:ascii="楷体_GB2312" w:hAnsi="楷体_GB2312" w:eastAsia="楷体_GB2312"/>
          <w:b/>
          <w:sz w:val="30"/>
          <w:szCs w:val="30"/>
        </w:rPr>
        <w:t>，</w:t>
      </w:r>
      <w:r>
        <w:rPr>
          <w:rFonts w:eastAsia="楷体_GB2312" w:ascii="楷体_GB2312" w:hAnsi="楷体_GB2312"/>
          <w:b/>
          <w:sz w:val="30"/>
          <w:szCs w:val="30"/>
        </w:rPr>
        <w:t>100)</w:t>
      </w:r>
      <w:r>
        <w:rPr>
          <w:rFonts w:ascii="楷体_GB2312" w:hAnsi="楷体_GB2312" w:eastAsia="楷体_GB2312"/>
          <w:b/>
          <w:sz w:val="30"/>
          <w:szCs w:val="30"/>
        </w:rPr>
        <w:t>、称职</w:t>
      </w:r>
      <w:r>
        <w:rPr>
          <w:rFonts w:eastAsia="楷体_GB2312" w:ascii="楷体_GB2312" w:hAnsi="楷体_GB2312"/>
          <w:b/>
          <w:sz w:val="30"/>
          <w:szCs w:val="30"/>
        </w:rPr>
        <w:t>C[80</w:t>
      </w:r>
      <w:r>
        <w:rPr>
          <w:rFonts w:ascii="楷体_GB2312" w:hAnsi="楷体_GB2312" w:eastAsia="楷体_GB2312"/>
          <w:b/>
          <w:sz w:val="30"/>
          <w:szCs w:val="30"/>
        </w:rPr>
        <w:t>，</w:t>
      </w:r>
      <w:r>
        <w:rPr>
          <w:rFonts w:eastAsia="楷体_GB2312" w:ascii="楷体_GB2312" w:hAnsi="楷体_GB2312"/>
          <w:b/>
          <w:sz w:val="30"/>
          <w:szCs w:val="30"/>
        </w:rPr>
        <w:t>95)</w:t>
      </w:r>
      <w:r>
        <w:rPr>
          <w:rFonts w:ascii="楷体_GB2312" w:hAnsi="楷体_GB2312" w:eastAsia="楷体_GB2312"/>
          <w:b/>
          <w:sz w:val="30"/>
          <w:szCs w:val="30"/>
        </w:rPr>
        <w:t>、基本称职</w:t>
      </w:r>
      <w:r>
        <w:rPr>
          <w:rFonts w:eastAsia="楷体_GB2312" w:ascii="楷体_GB2312" w:hAnsi="楷体_GB2312"/>
          <w:b/>
          <w:sz w:val="30"/>
          <w:szCs w:val="30"/>
        </w:rPr>
        <w:t>D[70</w:t>
      </w:r>
      <w:r>
        <w:rPr>
          <w:rFonts w:ascii="楷体_GB2312" w:hAnsi="楷体_GB2312" w:eastAsia="楷体_GB2312"/>
          <w:b/>
          <w:sz w:val="30"/>
          <w:szCs w:val="30"/>
        </w:rPr>
        <w:t>，</w:t>
      </w:r>
      <w:r>
        <w:rPr>
          <w:rFonts w:eastAsia="楷体_GB2312" w:ascii="楷体_GB2312" w:hAnsi="楷体_GB2312"/>
          <w:b/>
          <w:sz w:val="30"/>
          <w:szCs w:val="30"/>
        </w:rPr>
        <w:t>8 0)</w:t>
      </w:r>
      <w:r>
        <w:rPr>
          <w:rFonts w:ascii="楷体_GB2312" w:hAnsi="楷体_GB2312" w:eastAsia="楷体_GB2312"/>
          <w:b/>
          <w:sz w:val="30"/>
          <w:szCs w:val="30"/>
        </w:rPr>
        <w:t>和不称职</w:t>
      </w:r>
      <w:r>
        <w:rPr>
          <w:rFonts w:eastAsia="楷体_GB2312" w:ascii="楷体_GB2312" w:hAnsi="楷体_GB2312"/>
          <w:b/>
          <w:sz w:val="30"/>
          <w:szCs w:val="30"/>
        </w:rPr>
        <w:t>E(0</w:t>
      </w:r>
      <w:r>
        <w:rPr>
          <w:rFonts w:ascii="楷体_GB2312" w:hAnsi="楷体_GB2312" w:eastAsia="楷体_GB2312"/>
          <w:b/>
          <w:sz w:val="30"/>
          <w:szCs w:val="30"/>
        </w:rPr>
        <w:t>，</w:t>
      </w:r>
      <w:r>
        <w:rPr>
          <w:rFonts w:eastAsia="楷体_GB2312" w:ascii="楷体_GB2312" w:hAnsi="楷体_GB2312"/>
          <w:b/>
          <w:sz w:val="30"/>
          <w:szCs w:val="30"/>
        </w:rPr>
        <w:t>70)</w:t>
      </w:r>
      <w:r>
        <w:rPr>
          <w:rFonts w:ascii="楷体_GB2312" w:hAnsi="楷体_GB2312" w:eastAsia="楷体_GB2312"/>
          <w:b/>
          <w:sz w:val="30"/>
          <w:szCs w:val="30"/>
        </w:rPr>
        <w:t>五个等级。被评为“</w:t>
      </w:r>
      <w:r>
        <w:rPr>
          <w:rFonts w:eastAsia="楷体_GB2312" w:ascii="楷体_GB2312" w:hAnsi="楷体_GB2312"/>
          <w:b/>
          <w:sz w:val="30"/>
          <w:szCs w:val="30"/>
        </w:rPr>
        <w:t>A”</w:t>
      </w:r>
      <w:r>
        <w:rPr>
          <w:rFonts w:ascii="楷体_GB2312" w:hAnsi="楷体_GB2312" w:eastAsia="楷体_GB2312"/>
          <w:b/>
          <w:sz w:val="30"/>
          <w:szCs w:val="30"/>
        </w:rPr>
        <w:t>或…“</w:t>
      </w:r>
      <w:r>
        <w:rPr>
          <w:rFonts w:eastAsia="楷体_GB2312" w:ascii="楷体_GB2312" w:hAnsi="楷体_GB2312"/>
          <w:b/>
          <w:sz w:val="30"/>
          <w:szCs w:val="30"/>
        </w:rPr>
        <w:t>E”</w:t>
      </w:r>
      <w:r>
        <w:rPr>
          <w:rFonts w:ascii="楷体_GB2312" w:hAnsi="楷体_GB2312" w:eastAsia="楷体_GB2312"/>
          <w:b/>
          <w:sz w:val="30"/>
          <w:szCs w:val="30"/>
        </w:rPr>
        <w:t>的，由被评估人的直接上级或绩效管理委员会进行共同审核。</w:t>
      </w:r>
    </w:p>
    <w:p>
      <w:pPr>
        <w:pStyle w:val="Normal"/>
        <w:ind w:firstLine="435"/>
        <w:rPr/>
      </w:pPr>
      <w:r>
        <w:rPr>
          <w:rFonts w:eastAsia="楷体_GB2312" w:cs="楷体_GB2312" w:ascii="楷体_GB2312" w:hAnsi="楷体_GB2312"/>
          <w:b/>
          <w:sz w:val="30"/>
          <w:szCs w:val="30"/>
        </w:rPr>
        <w:t xml:space="preserve"> </w:t>
      </w:r>
      <w:r>
        <w:rPr>
          <w:rFonts w:ascii="楷体_GB2312" w:hAnsi="楷体_GB2312" w:eastAsia="楷体_GB2312"/>
          <w:b/>
          <w:sz w:val="30"/>
          <w:szCs w:val="30"/>
        </w:rPr>
        <w:t>第十九条  部门</w:t>
      </w:r>
      <w:r>
        <w:rPr>
          <w:rFonts w:eastAsia="楷体_GB2312" w:ascii="楷体_GB2312" w:hAnsi="楷体_GB2312"/>
          <w:b/>
          <w:sz w:val="30"/>
          <w:szCs w:val="30"/>
        </w:rPr>
        <w:t>(</w:t>
      </w:r>
      <w:r>
        <w:rPr>
          <w:rFonts w:ascii="楷体_GB2312" w:hAnsi="楷体_GB2312" w:eastAsia="楷体_GB2312"/>
          <w:b/>
          <w:sz w:val="30"/>
          <w:szCs w:val="30"/>
        </w:rPr>
        <w:t>班站</w:t>
      </w:r>
      <w:r>
        <w:rPr>
          <w:rFonts w:eastAsia="楷体_GB2312" w:ascii="楷体_GB2312" w:hAnsi="楷体_GB2312"/>
          <w:b/>
          <w:sz w:val="30"/>
          <w:szCs w:val="30"/>
        </w:rPr>
        <w:t>)</w:t>
      </w:r>
      <w:r>
        <w:rPr>
          <w:rFonts w:ascii="楷体_GB2312" w:hAnsi="楷体_GB2312" w:eastAsia="楷体_GB2312"/>
          <w:b/>
          <w:sz w:val="30"/>
          <w:szCs w:val="30"/>
        </w:rPr>
        <w:t>、员工考核等级实行强制分布法予以控制，实行</w:t>
      </w:r>
      <w:r>
        <w:rPr>
          <w:rFonts w:eastAsia="楷体_GB2312" w:ascii="楷体_GB2312" w:hAnsi="楷体_GB2312"/>
          <w:b/>
          <w:sz w:val="30"/>
          <w:szCs w:val="30"/>
        </w:rPr>
        <w:t>A</w:t>
      </w:r>
      <w:r>
        <w:rPr>
          <w:rFonts w:ascii="楷体_GB2312" w:hAnsi="楷体_GB2312" w:eastAsia="楷体_GB2312"/>
          <w:b/>
          <w:sz w:val="30"/>
          <w:szCs w:val="30"/>
        </w:rPr>
        <w:t>级控制在</w:t>
      </w:r>
      <w:r>
        <w:rPr>
          <w:rFonts w:eastAsia="楷体_GB2312" w:ascii="楷体_GB2312" w:hAnsi="楷体_GB2312"/>
          <w:b/>
          <w:sz w:val="30"/>
          <w:szCs w:val="30"/>
        </w:rPr>
        <w:t>20</w:t>
      </w:r>
      <w:r>
        <w:rPr>
          <w:rFonts w:ascii="楷体_GB2312" w:hAnsi="楷体_GB2312" w:eastAsia="楷体_GB2312"/>
          <w:b/>
          <w:sz w:val="30"/>
          <w:szCs w:val="30"/>
        </w:rPr>
        <w:t>％以内，</w:t>
      </w:r>
      <w:r>
        <w:rPr>
          <w:rFonts w:eastAsia="楷体_GB2312" w:ascii="楷体_GB2312" w:hAnsi="楷体_GB2312"/>
          <w:b/>
          <w:sz w:val="30"/>
          <w:szCs w:val="30"/>
        </w:rPr>
        <w:t>B</w:t>
      </w:r>
      <w:r>
        <w:rPr>
          <w:rFonts w:ascii="楷体_GB2312" w:hAnsi="楷体_GB2312" w:eastAsia="楷体_GB2312"/>
          <w:b/>
          <w:sz w:val="30"/>
          <w:szCs w:val="30"/>
        </w:rPr>
        <w:t>级、</w:t>
      </w:r>
      <w:r>
        <w:rPr>
          <w:rFonts w:eastAsia="楷体_GB2312" w:ascii="楷体_GB2312" w:hAnsi="楷体_GB2312"/>
          <w:b/>
          <w:sz w:val="30"/>
          <w:szCs w:val="30"/>
        </w:rPr>
        <w:t>C</w:t>
      </w:r>
      <w:r>
        <w:rPr>
          <w:rFonts w:ascii="楷体_GB2312" w:hAnsi="楷体_GB2312" w:eastAsia="楷体_GB2312"/>
          <w:b/>
          <w:sz w:val="30"/>
          <w:szCs w:val="30"/>
        </w:rPr>
        <w:t>级在</w:t>
      </w:r>
      <w:r>
        <w:rPr>
          <w:rFonts w:eastAsia="楷体_GB2312" w:ascii="楷体_GB2312" w:hAnsi="楷体_GB2312"/>
          <w:b/>
          <w:sz w:val="30"/>
          <w:szCs w:val="30"/>
        </w:rPr>
        <w:t>70</w:t>
      </w:r>
      <w:r>
        <w:rPr>
          <w:rFonts w:ascii="楷体_GB2312" w:hAnsi="楷体_GB2312" w:eastAsia="楷体_GB2312"/>
          <w:b/>
          <w:sz w:val="30"/>
          <w:szCs w:val="30"/>
        </w:rPr>
        <w:t>％左右，</w:t>
      </w:r>
      <w:r>
        <w:rPr>
          <w:rFonts w:eastAsia="楷体_GB2312" w:ascii="楷体_GB2312" w:hAnsi="楷体_GB2312"/>
          <w:b/>
          <w:sz w:val="30"/>
          <w:szCs w:val="30"/>
        </w:rPr>
        <w:t>D</w:t>
      </w:r>
      <w:r>
        <w:rPr>
          <w:rFonts w:ascii="楷体_GB2312" w:hAnsi="楷体_GB2312" w:eastAsia="楷体_GB2312"/>
          <w:b/>
          <w:sz w:val="30"/>
          <w:szCs w:val="30"/>
        </w:rPr>
        <w:t>级、</w:t>
      </w:r>
      <w:r>
        <w:rPr>
          <w:rFonts w:eastAsia="楷体_GB2312" w:ascii="楷体_GB2312" w:hAnsi="楷体_GB2312"/>
          <w:b/>
          <w:sz w:val="30"/>
          <w:szCs w:val="30"/>
        </w:rPr>
        <w:t>E</w:t>
      </w:r>
      <w:r>
        <w:rPr>
          <w:rFonts w:ascii="楷体_GB2312" w:hAnsi="楷体_GB2312" w:eastAsia="楷体_GB2312"/>
          <w:b/>
          <w:sz w:val="30"/>
          <w:szCs w:val="30"/>
        </w:rPr>
        <w:t>级的在</w:t>
      </w:r>
      <w:r>
        <w:rPr>
          <w:rFonts w:eastAsia="楷体_GB2312" w:ascii="楷体_GB2312" w:hAnsi="楷体_GB2312"/>
          <w:b/>
          <w:sz w:val="30"/>
          <w:szCs w:val="30"/>
        </w:rPr>
        <w:t>5</w:t>
      </w:r>
      <w:r>
        <w:rPr>
          <w:rFonts w:ascii="楷体_GB2312" w:hAnsi="楷体_GB2312" w:eastAsia="楷体_GB2312"/>
          <w:b/>
          <w:sz w:val="30"/>
          <w:szCs w:val="30"/>
        </w:rPr>
        <w:t>％以内。部门考核等级强制分布在本单位范围内控制；班站考核等级强制分布在其所在分公司范围内控制；员工考核等级在其所在部门</w:t>
      </w:r>
      <w:r>
        <w:rPr>
          <w:rFonts w:eastAsia="楷体_GB2312" w:ascii="楷体_GB2312" w:hAnsi="楷体_GB2312"/>
          <w:b/>
          <w:sz w:val="30"/>
          <w:szCs w:val="30"/>
        </w:rPr>
        <w:t>(</w:t>
      </w:r>
      <w:r>
        <w:rPr>
          <w:rFonts w:ascii="楷体_GB2312" w:hAnsi="楷体_GB2312" w:eastAsia="楷体_GB2312"/>
          <w:b/>
          <w:sz w:val="30"/>
          <w:szCs w:val="30"/>
        </w:rPr>
        <w:t>班站</w:t>
      </w:r>
      <w:r>
        <w:rPr>
          <w:rFonts w:eastAsia="楷体_GB2312" w:ascii="楷体_GB2312" w:hAnsi="楷体_GB2312"/>
          <w:b/>
          <w:sz w:val="30"/>
          <w:szCs w:val="30"/>
        </w:rPr>
        <w:t>)</w:t>
      </w:r>
      <w:r>
        <w:rPr>
          <w:rFonts w:ascii="楷体_GB2312" w:hAnsi="楷体_GB2312" w:eastAsia="楷体_GB2312"/>
          <w:b/>
          <w:sz w:val="30"/>
          <w:szCs w:val="30"/>
        </w:rPr>
        <w:t>范围内控制。部门</w:t>
      </w:r>
      <w:r>
        <w:rPr>
          <w:rFonts w:eastAsia="楷体_GB2312" w:ascii="楷体_GB2312" w:hAnsi="楷体_GB2312"/>
          <w:b/>
          <w:sz w:val="30"/>
          <w:szCs w:val="30"/>
        </w:rPr>
        <w:t>(</w:t>
      </w:r>
      <w:r>
        <w:rPr>
          <w:rFonts w:ascii="楷体_GB2312" w:hAnsi="楷体_GB2312" w:eastAsia="楷体_GB2312"/>
          <w:b/>
          <w:sz w:val="30"/>
          <w:szCs w:val="30"/>
        </w:rPr>
        <w:t>班站</w:t>
      </w:r>
      <w:r>
        <w:rPr>
          <w:rFonts w:eastAsia="楷体_GB2312" w:ascii="楷体_GB2312" w:hAnsi="楷体_GB2312"/>
          <w:b/>
          <w:sz w:val="30"/>
          <w:szCs w:val="30"/>
        </w:rPr>
        <w:t>)</w:t>
      </w:r>
      <w:r>
        <w:rPr>
          <w:rFonts w:ascii="楷体_GB2312" w:hAnsi="楷体_GB2312" w:eastAsia="楷体_GB2312"/>
          <w:b/>
          <w:sz w:val="30"/>
          <w:szCs w:val="30"/>
        </w:rPr>
        <w:t>考核为</w:t>
      </w:r>
      <w:r>
        <w:rPr>
          <w:rFonts w:eastAsia="楷体_GB2312" w:ascii="楷体_GB2312" w:hAnsi="楷体_GB2312"/>
          <w:b/>
          <w:sz w:val="30"/>
          <w:szCs w:val="30"/>
        </w:rPr>
        <w:t>A</w:t>
      </w:r>
      <w:r>
        <w:rPr>
          <w:rFonts w:ascii="楷体_GB2312" w:hAnsi="楷体_GB2312" w:eastAsia="楷体_GB2312"/>
          <w:b/>
          <w:sz w:val="30"/>
          <w:szCs w:val="30"/>
        </w:rPr>
        <w:t>，其员工绩效为</w:t>
      </w:r>
      <w:r>
        <w:rPr>
          <w:rFonts w:eastAsia="楷体_GB2312" w:ascii="楷体_GB2312" w:hAnsi="楷体_GB2312"/>
          <w:b/>
          <w:sz w:val="30"/>
          <w:szCs w:val="30"/>
        </w:rPr>
        <w:t>A</w:t>
      </w:r>
      <w:r>
        <w:rPr>
          <w:rFonts w:ascii="楷体_GB2312" w:hAnsi="楷体_GB2312" w:eastAsia="楷体_GB2312"/>
          <w:b/>
          <w:sz w:val="30"/>
          <w:szCs w:val="30"/>
        </w:rPr>
        <w:t>的控制在</w:t>
      </w:r>
      <w:r>
        <w:rPr>
          <w:rFonts w:eastAsia="楷体_GB2312" w:ascii="楷体_GB2312" w:hAnsi="楷体_GB2312"/>
          <w:b/>
          <w:sz w:val="30"/>
          <w:szCs w:val="30"/>
        </w:rPr>
        <w:t>30</w:t>
      </w:r>
      <w:r>
        <w:rPr>
          <w:rFonts w:ascii="楷体_GB2312" w:hAnsi="楷体_GB2312" w:eastAsia="楷体_GB2312"/>
          <w:b/>
          <w:sz w:val="30"/>
          <w:szCs w:val="30"/>
        </w:rPr>
        <w:t>％左右；部门</w:t>
      </w:r>
      <w:r>
        <w:rPr>
          <w:rFonts w:eastAsia="楷体_GB2312" w:ascii="楷体_GB2312" w:hAnsi="楷体_GB2312"/>
          <w:b/>
          <w:sz w:val="30"/>
          <w:szCs w:val="30"/>
        </w:rPr>
        <w:t>(</w:t>
      </w:r>
      <w:r>
        <w:rPr>
          <w:rFonts w:ascii="楷体_GB2312" w:hAnsi="楷体_GB2312" w:eastAsia="楷体_GB2312"/>
          <w:b/>
          <w:sz w:val="30"/>
          <w:szCs w:val="30"/>
        </w:rPr>
        <w:t>班站</w:t>
      </w:r>
      <w:r>
        <w:rPr>
          <w:rFonts w:eastAsia="楷体_GB2312" w:ascii="楷体_GB2312" w:hAnsi="楷体_GB2312"/>
          <w:b/>
          <w:sz w:val="30"/>
          <w:szCs w:val="30"/>
        </w:rPr>
        <w:t>)</w:t>
      </w:r>
      <w:r>
        <w:rPr>
          <w:rFonts w:ascii="楷体_GB2312" w:hAnsi="楷体_GB2312" w:eastAsia="楷体_GB2312"/>
          <w:b/>
          <w:sz w:val="30"/>
          <w:szCs w:val="30"/>
        </w:rPr>
        <w:t>考核为</w:t>
      </w:r>
      <w:r>
        <w:rPr>
          <w:rFonts w:eastAsia="楷体_GB2312" w:ascii="楷体_GB2312" w:hAnsi="楷体_GB2312"/>
          <w:b/>
          <w:sz w:val="30"/>
          <w:szCs w:val="30"/>
        </w:rPr>
        <w:t>E</w:t>
      </w:r>
      <w:r>
        <w:rPr>
          <w:rFonts w:ascii="楷体_GB2312" w:hAnsi="楷体_GB2312" w:eastAsia="楷体_GB2312"/>
          <w:b/>
          <w:sz w:val="30"/>
          <w:szCs w:val="30"/>
        </w:rPr>
        <w:t>级，则其员工绩效应无</w:t>
      </w:r>
      <w:r>
        <w:rPr>
          <w:rFonts w:eastAsia="楷体_GB2312" w:ascii="楷体_GB2312" w:hAnsi="楷体_GB2312"/>
          <w:b/>
          <w:sz w:val="30"/>
          <w:szCs w:val="30"/>
        </w:rPr>
        <w:t>A</w:t>
      </w:r>
      <w:r>
        <w:rPr>
          <w:rFonts w:ascii="楷体_GB2312" w:hAnsi="楷体_GB2312" w:eastAsia="楷体_GB2312"/>
          <w:b/>
          <w:sz w:val="30"/>
          <w:szCs w:val="30"/>
        </w:rPr>
        <w:t>级，且</w:t>
      </w:r>
      <w:r>
        <w:rPr>
          <w:rFonts w:eastAsia="楷体_GB2312" w:ascii="楷体_GB2312" w:hAnsi="楷体_GB2312"/>
          <w:b/>
          <w:sz w:val="30"/>
          <w:szCs w:val="30"/>
        </w:rPr>
        <w:t>D</w:t>
      </w:r>
      <w:r>
        <w:rPr>
          <w:rFonts w:ascii="楷体_GB2312" w:hAnsi="楷体_GB2312" w:eastAsia="楷体_GB2312"/>
          <w:b/>
          <w:sz w:val="30"/>
          <w:szCs w:val="30"/>
        </w:rPr>
        <w:t>、</w:t>
      </w:r>
      <w:r>
        <w:rPr>
          <w:rFonts w:eastAsia="楷体_GB2312" w:ascii="楷体_GB2312" w:hAnsi="楷体_GB2312"/>
          <w:b/>
          <w:sz w:val="30"/>
          <w:szCs w:val="30"/>
        </w:rPr>
        <w:t>E</w:t>
      </w:r>
      <w:r>
        <w:rPr>
          <w:rFonts w:ascii="楷体_GB2312" w:hAnsi="楷体_GB2312" w:eastAsia="楷体_GB2312"/>
          <w:b/>
          <w:sz w:val="30"/>
          <w:szCs w:val="30"/>
        </w:rPr>
        <w:t>级的应在</w:t>
      </w:r>
      <w:r>
        <w:rPr>
          <w:rFonts w:eastAsia="楷体_GB2312" w:ascii="楷体_GB2312" w:hAnsi="楷体_GB2312"/>
          <w:b/>
          <w:sz w:val="30"/>
          <w:szCs w:val="30"/>
        </w:rPr>
        <w:t>1 0</w:t>
      </w:r>
      <w:r>
        <w:rPr>
          <w:rFonts w:ascii="楷体_GB2312" w:hAnsi="楷体_GB2312" w:eastAsia="楷体_GB2312"/>
          <w:b/>
          <w:sz w:val="30"/>
          <w:szCs w:val="30"/>
        </w:rPr>
        <w:t>％以上。部门、班站负责人和外借人员考核结果等级控制由各单位依据具体情况可另行规定；部门或班站人数不足</w:t>
      </w:r>
      <w:r>
        <w:rPr>
          <w:rFonts w:eastAsia="楷体_GB2312" w:ascii="楷体_GB2312" w:hAnsi="楷体_GB2312"/>
          <w:b/>
          <w:sz w:val="30"/>
          <w:szCs w:val="30"/>
        </w:rPr>
        <w:t>10</w:t>
      </w:r>
      <w:r>
        <w:rPr>
          <w:rFonts w:ascii="楷体_GB2312" w:hAnsi="楷体_GB2312" w:eastAsia="楷体_GB2312"/>
          <w:b/>
          <w:sz w:val="30"/>
          <w:szCs w:val="30"/>
        </w:rPr>
        <w:t>人的，与相同类别的部门或班站合并计算控制。</w:t>
      </w:r>
    </w:p>
    <w:p>
      <w:pPr>
        <w:pStyle w:val="Normal"/>
        <w:ind w:firstLine="435"/>
        <w:rPr/>
      </w:pPr>
      <w:r>
        <w:rPr>
          <w:rFonts w:eastAsia="楷体_GB2312" w:cs="楷体_GB2312" w:ascii="楷体_GB2312" w:hAnsi="楷体_GB2312"/>
          <w:b/>
          <w:sz w:val="30"/>
          <w:szCs w:val="30"/>
        </w:rPr>
        <w:t xml:space="preserve"> </w:t>
      </w:r>
      <w:r>
        <w:rPr>
          <w:rFonts w:ascii="楷体_GB2312" w:hAnsi="楷体_GB2312" w:eastAsia="楷体_GB2312"/>
          <w:b/>
          <w:sz w:val="30"/>
          <w:szCs w:val="30"/>
        </w:rPr>
        <w:t>第二十条  绩效的某一方面存在缺陷或有严重不良行为并造成一定后果或影响的，各单位结合实际制定直接确认为</w:t>
      </w:r>
      <w:r>
        <w:rPr>
          <w:rFonts w:eastAsia="楷体_GB2312" w:ascii="楷体_GB2312" w:hAnsi="楷体_GB2312"/>
          <w:b/>
          <w:sz w:val="30"/>
          <w:szCs w:val="30"/>
        </w:rPr>
        <w:t>D</w:t>
      </w:r>
      <w:r>
        <w:rPr>
          <w:rFonts w:ascii="楷体_GB2312" w:hAnsi="楷体_GB2312" w:eastAsia="楷体_GB2312"/>
          <w:b/>
          <w:sz w:val="30"/>
          <w:szCs w:val="30"/>
        </w:rPr>
        <w:t>的不良行为条款。</w:t>
      </w:r>
    </w:p>
    <w:p>
      <w:pPr>
        <w:pStyle w:val="Normal"/>
        <w:ind w:firstLine="435"/>
        <w:rPr/>
      </w:pPr>
      <w:r>
        <w:rPr>
          <w:rFonts w:eastAsia="楷体_GB2312" w:cs="楷体_GB2312" w:ascii="楷体_GB2312" w:hAnsi="楷体_GB2312"/>
          <w:b/>
          <w:sz w:val="30"/>
          <w:szCs w:val="30"/>
        </w:rPr>
        <w:t xml:space="preserve"> </w:t>
      </w:r>
      <w:r>
        <w:rPr>
          <w:rFonts w:ascii="楷体_GB2312" w:hAnsi="楷体_GB2312" w:eastAsia="楷体_GB2312"/>
          <w:b/>
          <w:sz w:val="30"/>
          <w:szCs w:val="30"/>
        </w:rPr>
        <w:t>第二十一条   发生下列情况之一的，员工年度绩效考核结果直接确认为</w:t>
      </w:r>
      <w:r>
        <w:rPr>
          <w:rFonts w:eastAsia="楷体_GB2312" w:ascii="楷体_GB2312" w:hAnsi="楷体_GB2312"/>
          <w:b/>
          <w:sz w:val="30"/>
          <w:szCs w:val="30"/>
        </w:rPr>
        <w:t>E</w:t>
      </w:r>
      <w:r>
        <w:rPr>
          <w:rFonts w:ascii="楷体_GB2312" w:hAnsi="楷体_GB2312" w:eastAsia="楷体_GB2312"/>
          <w:b/>
          <w:sz w:val="30"/>
          <w:szCs w:val="30"/>
        </w:rPr>
        <w:t>，所在部门在考核的评定基础上，降一级别认定：</w:t>
      </w:r>
    </w:p>
    <w:p>
      <w:pPr>
        <w:pStyle w:val="Normal"/>
        <w:numPr>
          <w:ilvl w:val="0"/>
          <w:numId w:val="1"/>
        </w:numPr>
        <w:rPr>
          <w:rFonts w:ascii="楷体_GB2312" w:hAnsi="楷体_GB2312" w:eastAsia="楷体_GB2312"/>
          <w:b/>
          <w:b/>
          <w:sz w:val="30"/>
          <w:szCs w:val="30"/>
        </w:rPr>
      </w:pPr>
      <w:r>
        <w:rPr>
          <w:rFonts w:ascii="楷体_GB2312" w:hAnsi="楷体_GB2312" w:eastAsia="楷体_GB2312"/>
          <w:b/>
          <w:sz w:val="30"/>
          <w:szCs w:val="30"/>
        </w:rPr>
        <w:t>员工违法违纪受到司法部门追究、制裁的；</w:t>
      </w:r>
    </w:p>
    <w:p>
      <w:pPr>
        <w:pStyle w:val="Normal"/>
        <w:ind w:start="870" w:hanging="0"/>
        <w:rPr>
          <w:rFonts w:ascii="楷体_GB2312" w:hAnsi="楷体_GB2312" w:eastAsia="楷体_GB2312"/>
          <w:b/>
          <w:b/>
          <w:sz w:val="30"/>
          <w:szCs w:val="30"/>
        </w:rPr>
      </w:pPr>
      <w:r>
        <w:rPr>
          <w:rFonts w:eastAsia="楷体_GB2312" w:ascii="楷体_GB2312" w:hAnsi="楷体_GB2312"/>
          <w:b/>
          <w:sz w:val="30"/>
          <w:szCs w:val="30"/>
        </w:rPr>
        <w:t>(</w:t>
      </w:r>
      <w:r>
        <w:rPr>
          <w:rFonts w:ascii="楷体_GB2312" w:hAnsi="楷体_GB2312" w:eastAsia="楷体_GB2312"/>
          <w:b/>
          <w:sz w:val="30"/>
          <w:szCs w:val="30"/>
        </w:rPr>
        <w:t>二</w:t>
      </w:r>
      <w:r>
        <w:rPr>
          <w:rFonts w:eastAsia="楷体_GB2312" w:ascii="楷体_GB2312" w:hAnsi="楷体_GB2312"/>
          <w:b/>
          <w:sz w:val="30"/>
          <w:szCs w:val="30"/>
        </w:rPr>
        <w:t>)</w:t>
      </w:r>
      <w:r>
        <w:rPr>
          <w:rFonts w:ascii="楷体_GB2312" w:hAnsi="楷体_GB2312" w:eastAsia="楷体_GB2312"/>
          <w:b/>
          <w:sz w:val="30"/>
          <w:szCs w:val="30"/>
        </w:rPr>
        <w:t>员工受行政严重警告或党、团警告及以上处分；</w:t>
      </w:r>
    </w:p>
    <w:p>
      <w:pPr>
        <w:pStyle w:val="Normal"/>
        <w:ind w:start="870" w:hanging="0"/>
        <w:rPr>
          <w:rFonts w:ascii="楷体_GB2312" w:hAnsi="楷体_GB2312" w:eastAsia="楷体_GB2312"/>
          <w:b/>
          <w:b/>
          <w:sz w:val="30"/>
          <w:szCs w:val="30"/>
        </w:rPr>
      </w:pPr>
      <w:r>
        <w:rPr>
          <w:rFonts w:eastAsia="楷体_GB2312" w:ascii="楷体_GB2312" w:hAnsi="楷体_GB2312"/>
          <w:b/>
          <w:sz w:val="30"/>
          <w:szCs w:val="30"/>
        </w:rPr>
        <w:t>(</w:t>
      </w:r>
      <w:r>
        <w:rPr>
          <w:rFonts w:ascii="楷体_GB2312" w:hAnsi="楷体_GB2312" w:eastAsia="楷体_GB2312"/>
          <w:b/>
          <w:sz w:val="30"/>
          <w:szCs w:val="30"/>
        </w:rPr>
        <w:t>三</w:t>
      </w:r>
      <w:r>
        <w:rPr>
          <w:rFonts w:eastAsia="楷体_GB2312" w:ascii="楷体_GB2312" w:hAnsi="楷体_GB2312"/>
          <w:b/>
          <w:sz w:val="30"/>
          <w:szCs w:val="30"/>
        </w:rPr>
        <w:t>)</w:t>
      </w:r>
      <w:r>
        <w:rPr>
          <w:rFonts w:ascii="楷体_GB2312" w:hAnsi="楷体_GB2312" w:eastAsia="楷体_GB2312"/>
          <w:b/>
          <w:sz w:val="30"/>
          <w:szCs w:val="30"/>
        </w:rPr>
        <w:t>员工因工作失误、失职，造成企业经济损失的；</w:t>
      </w:r>
    </w:p>
    <w:p>
      <w:pPr>
        <w:pStyle w:val="Normal"/>
        <w:ind w:start="870" w:hanging="0"/>
        <w:rPr>
          <w:rFonts w:ascii="楷体_GB2312" w:hAnsi="楷体_GB2312" w:eastAsia="楷体_GB2312"/>
          <w:b/>
          <w:b/>
          <w:sz w:val="30"/>
          <w:szCs w:val="30"/>
        </w:rPr>
      </w:pPr>
      <w:r>
        <w:rPr>
          <w:rFonts w:eastAsia="楷体_GB2312" w:ascii="楷体_GB2312" w:hAnsi="楷体_GB2312"/>
          <w:b/>
          <w:sz w:val="30"/>
          <w:szCs w:val="30"/>
        </w:rPr>
        <w:t>(</w:t>
      </w:r>
      <w:r>
        <w:rPr>
          <w:rFonts w:ascii="楷体_GB2312" w:hAnsi="楷体_GB2312" w:eastAsia="楷体_GB2312"/>
          <w:b/>
          <w:sz w:val="30"/>
          <w:szCs w:val="30"/>
        </w:rPr>
        <w:t>四</w:t>
      </w:r>
      <w:r>
        <w:rPr>
          <w:rFonts w:eastAsia="楷体_GB2312" w:ascii="楷体_GB2312" w:hAnsi="楷体_GB2312"/>
          <w:b/>
          <w:sz w:val="30"/>
          <w:szCs w:val="30"/>
        </w:rPr>
        <w:t>)</w:t>
      </w:r>
      <w:r>
        <w:rPr>
          <w:rFonts w:ascii="楷体_GB2312" w:hAnsi="楷体_GB2312" w:eastAsia="楷体_GB2312"/>
          <w:b/>
          <w:sz w:val="30"/>
          <w:szCs w:val="30"/>
        </w:rPr>
        <w:t>考核年度发生企业负责人业绩考核扣安全生产分值</w:t>
      </w:r>
      <w:r>
        <w:rPr>
          <w:rFonts w:eastAsia="楷体_GB2312" w:ascii="楷体_GB2312" w:hAnsi="楷体_GB2312"/>
          <w:b/>
          <w:sz w:val="30"/>
          <w:szCs w:val="30"/>
        </w:rPr>
        <w:t>20</w:t>
      </w:r>
      <w:r>
        <w:rPr>
          <w:rFonts w:ascii="楷体_GB2312" w:hAnsi="楷体_GB2312" w:eastAsia="楷体_GB2312"/>
          <w:b/>
          <w:sz w:val="30"/>
          <w:szCs w:val="30"/>
        </w:rPr>
        <w:t>％及以上的责任部门与责任人；</w:t>
      </w:r>
    </w:p>
    <w:p>
      <w:pPr>
        <w:pStyle w:val="Normal"/>
        <w:ind w:start="870" w:hanging="0"/>
        <w:rPr>
          <w:rFonts w:ascii="楷体_GB2312" w:hAnsi="楷体_GB2312" w:eastAsia="楷体_GB2312"/>
          <w:b/>
          <w:b/>
          <w:sz w:val="30"/>
          <w:szCs w:val="30"/>
        </w:rPr>
      </w:pPr>
      <w:r>
        <w:rPr>
          <w:rFonts w:eastAsia="楷体_GB2312" w:ascii="楷体_GB2312" w:hAnsi="楷体_GB2312"/>
          <w:b/>
          <w:sz w:val="30"/>
          <w:szCs w:val="30"/>
        </w:rPr>
        <w:t>(</w:t>
      </w:r>
      <w:r>
        <w:rPr>
          <w:rFonts w:ascii="楷体_GB2312" w:hAnsi="楷体_GB2312" w:eastAsia="楷体_GB2312"/>
          <w:b/>
          <w:sz w:val="30"/>
          <w:szCs w:val="30"/>
        </w:rPr>
        <w:t>五</w:t>
      </w:r>
      <w:r>
        <w:rPr>
          <w:rFonts w:eastAsia="楷体_GB2312" w:ascii="楷体_GB2312" w:hAnsi="楷体_GB2312"/>
          <w:b/>
          <w:sz w:val="30"/>
          <w:szCs w:val="30"/>
        </w:rPr>
        <w:t>)</w:t>
      </w:r>
      <w:r>
        <w:rPr>
          <w:rFonts w:ascii="楷体_GB2312" w:hAnsi="楷体_GB2312" w:eastAsia="楷体_GB2312"/>
          <w:b/>
          <w:sz w:val="30"/>
          <w:szCs w:val="30"/>
        </w:rPr>
        <w:t>员工或部门发生严重影响公司形象的事件，受通报批评或各种行政处分的。</w:t>
      </w:r>
    </w:p>
    <w:p>
      <w:pPr>
        <w:pStyle w:val="Normal"/>
        <w:ind w:start="870" w:hanging="0"/>
        <w:rPr>
          <w:rFonts w:ascii="楷体_GB2312" w:hAnsi="楷体_GB2312" w:eastAsia="楷体_GB2312"/>
          <w:b/>
          <w:b/>
          <w:sz w:val="30"/>
          <w:szCs w:val="30"/>
        </w:rPr>
      </w:pPr>
      <w:r>
        <w:rPr>
          <w:rFonts w:eastAsia="楷体_GB2312" w:ascii="楷体_GB2312" w:hAnsi="楷体_GB2312"/>
          <w:b/>
          <w:sz w:val="30"/>
          <w:szCs w:val="30"/>
        </w:rPr>
      </w:r>
    </w:p>
    <w:p>
      <w:pPr>
        <w:pStyle w:val="Normal"/>
        <w:jc w:val="center"/>
        <w:rPr>
          <w:rFonts w:ascii="楷体_GB2312" w:hAnsi="楷体_GB2312" w:eastAsia="楷体_GB2312"/>
          <w:b/>
          <w:b/>
          <w:sz w:val="30"/>
          <w:szCs w:val="30"/>
        </w:rPr>
      </w:pPr>
      <w:r>
        <w:rPr>
          <w:rFonts w:ascii="楷体_GB2312" w:hAnsi="楷体_GB2312" w:eastAsia="楷体_GB2312"/>
          <w:b/>
          <w:sz w:val="30"/>
          <w:szCs w:val="30"/>
        </w:rPr>
        <w:t>第四章   考核结果应用</w:t>
      </w:r>
    </w:p>
    <w:p>
      <w:pPr>
        <w:pStyle w:val="Normal"/>
        <w:ind w:firstLine="578"/>
        <w:rPr/>
      </w:pPr>
      <w:r>
        <w:rPr>
          <w:rFonts w:eastAsia="楷体_GB2312" w:cs="楷体_GB2312" w:ascii="楷体_GB2312" w:hAnsi="楷体_GB2312"/>
          <w:b/>
          <w:sz w:val="30"/>
          <w:szCs w:val="30"/>
        </w:rPr>
        <w:t xml:space="preserve"> </w:t>
      </w:r>
      <w:r>
        <w:rPr>
          <w:rFonts w:ascii="楷体_GB2312" w:hAnsi="楷体_GB2312" w:eastAsia="楷体_GB2312"/>
          <w:b/>
          <w:sz w:val="30"/>
          <w:szCs w:val="30"/>
        </w:rPr>
        <w:t>第二十二条  绩效考核结果是薪酬分配、劳动合同管理、人员配置、岗位变动、培训开发、评优评先、晋级</w:t>
      </w:r>
      <w:r>
        <w:rPr>
          <w:rFonts w:eastAsia="楷体_GB2312" w:ascii="楷体_GB2312" w:hAnsi="楷体_GB2312"/>
          <w:b/>
          <w:sz w:val="30"/>
          <w:szCs w:val="30"/>
        </w:rPr>
        <w:t>(</w:t>
      </w:r>
      <w:r>
        <w:rPr>
          <w:rFonts w:ascii="楷体_GB2312" w:hAnsi="楷体_GB2312" w:eastAsia="楷体_GB2312"/>
          <w:b/>
          <w:sz w:val="30"/>
          <w:szCs w:val="30"/>
        </w:rPr>
        <w:t>晋升</w:t>
      </w:r>
      <w:r>
        <w:rPr>
          <w:rFonts w:eastAsia="楷体_GB2312" w:ascii="楷体_GB2312" w:hAnsi="楷体_GB2312"/>
          <w:b/>
          <w:sz w:val="30"/>
          <w:szCs w:val="30"/>
        </w:rPr>
        <w:t>)</w:t>
      </w:r>
      <w:r>
        <w:rPr>
          <w:rFonts w:ascii="楷体_GB2312" w:hAnsi="楷体_GB2312" w:eastAsia="楷体_GB2312"/>
          <w:b/>
          <w:sz w:val="30"/>
          <w:szCs w:val="30"/>
        </w:rPr>
        <w:t>、员工职业生涯发展规划的重要依据。员工的绩效考核结果应存档管理，做到有据可查。</w:t>
      </w:r>
    </w:p>
    <w:p>
      <w:pPr>
        <w:pStyle w:val="Normal"/>
        <w:ind w:firstLine="774"/>
        <w:rPr>
          <w:rFonts w:ascii="楷体_GB2312" w:hAnsi="楷体_GB2312" w:eastAsia="楷体_GB2312"/>
          <w:b/>
          <w:b/>
          <w:sz w:val="30"/>
          <w:szCs w:val="30"/>
        </w:rPr>
      </w:pPr>
      <w:r>
        <w:rPr>
          <w:rFonts w:ascii="楷体_GB2312" w:hAnsi="楷体_GB2312" w:eastAsia="楷体_GB2312"/>
          <w:b/>
          <w:sz w:val="30"/>
          <w:szCs w:val="30"/>
        </w:rPr>
        <w:t>第二十三条  各单位可依据本单位实际，在下列区间确定本单位相关绩效考核等级绩效系数：</w:t>
      </w:r>
    </w:p>
    <w:p>
      <w:pPr>
        <w:pStyle w:val="Normal"/>
        <w:ind w:start="870" w:hanging="0"/>
        <w:rPr>
          <w:rFonts w:ascii="楷体_GB2312" w:hAnsi="楷体_GB2312" w:eastAsia="楷体_GB2312"/>
          <w:b/>
          <w:b/>
          <w:sz w:val="30"/>
          <w:szCs w:val="30"/>
        </w:rPr>
      </w:pPr>
      <w:r>
        <w:rPr>
          <w:rFonts w:eastAsia="楷体_GB2312" w:cs="楷体_GB2312" w:ascii="楷体_GB2312" w:hAnsi="楷体_GB2312"/>
          <w:b/>
          <w:sz w:val="30"/>
          <w:szCs w:val="30"/>
        </w:rPr>
        <w:t xml:space="preserve"> </w:t>
      </w:r>
      <w:r>
        <w:rPr>
          <w:rFonts w:eastAsia="楷体_GB2312" w:ascii="楷体_GB2312" w:hAnsi="楷体_GB2312"/>
          <w:b/>
          <w:sz w:val="30"/>
          <w:szCs w:val="30"/>
        </w:rPr>
        <w:t>1</w:t>
      </w:r>
      <w:r>
        <w:rPr>
          <w:rFonts w:ascii="楷体_GB2312" w:hAnsi="楷体_GB2312" w:eastAsia="楷体_GB2312"/>
          <w:b/>
          <w:sz w:val="30"/>
          <w:szCs w:val="30"/>
        </w:rPr>
        <w:t>、杰出</w:t>
      </w:r>
      <w:r>
        <w:rPr>
          <w:rFonts w:eastAsia="楷体_GB2312" w:ascii="楷体_GB2312" w:hAnsi="楷体_GB2312"/>
          <w:b/>
          <w:sz w:val="30"/>
          <w:szCs w:val="30"/>
        </w:rPr>
        <w:t>A</w:t>
      </w:r>
      <w:r>
        <w:rPr>
          <w:rFonts w:ascii="楷体_GB2312" w:hAnsi="楷体_GB2312" w:eastAsia="楷体_GB2312"/>
          <w:b/>
          <w:sz w:val="30"/>
          <w:szCs w:val="30"/>
        </w:rPr>
        <w:t>：</w:t>
      </w:r>
      <w:r>
        <w:rPr>
          <w:rFonts w:eastAsia="楷体_GB2312" w:ascii="楷体_GB2312" w:hAnsi="楷体_GB2312"/>
          <w:b/>
          <w:sz w:val="30"/>
          <w:szCs w:val="30"/>
        </w:rPr>
        <w:t>[1.3</w:t>
      </w:r>
      <w:r>
        <w:rPr>
          <w:rFonts w:ascii="楷体_GB2312" w:hAnsi="楷体_GB2312" w:eastAsia="楷体_GB2312"/>
          <w:b/>
          <w:sz w:val="30"/>
          <w:szCs w:val="30"/>
        </w:rPr>
        <w:t>，</w:t>
      </w:r>
      <w:r>
        <w:rPr>
          <w:rFonts w:eastAsia="楷体_GB2312" w:ascii="楷体_GB2312" w:hAnsi="楷体_GB2312"/>
          <w:b/>
          <w:sz w:val="30"/>
          <w:szCs w:val="30"/>
        </w:rPr>
        <w:t>1.5]</w:t>
      </w:r>
      <w:r>
        <w:rPr>
          <w:rFonts w:ascii="楷体_GB2312" w:hAnsi="楷体_GB2312" w:eastAsia="楷体_GB2312"/>
          <w:b/>
          <w:sz w:val="30"/>
          <w:szCs w:val="30"/>
        </w:rPr>
        <w:t>；</w:t>
      </w:r>
    </w:p>
    <w:p>
      <w:pPr>
        <w:pStyle w:val="Normal"/>
        <w:ind w:start="870" w:hanging="0"/>
        <w:rPr/>
      </w:pPr>
      <w:r>
        <w:rPr>
          <w:rFonts w:eastAsia="楷体_GB2312" w:cs="楷体_GB2312" w:ascii="楷体_GB2312" w:hAnsi="楷体_GB2312"/>
          <w:b/>
          <w:sz w:val="30"/>
          <w:szCs w:val="30"/>
        </w:rPr>
        <w:t xml:space="preserve"> </w:t>
      </w:r>
      <w:r>
        <w:rPr>
          <w:rFonts w:eastAsia="楷体_GB2312" w:ascii="楷体_GB2312" w:hAnsi="楷体_GB2312"/>
          <w:b/>
          <w:sz w:val="30"/>
          <w:szCs w:val="30"/>
        </w:rPr>
        <w:t>2</w:t>
      </w:r>
      <w:r>
        <w:rPr>
          <w:rFonts w:ascii="楷体_GB2312" w:hAnsi="楷体_GB2312" w:eastAsia="楷体_GB2312"/>
          <w:b/>
          <w:sz w:val="30"/>
          <w:szCs w:val="30"/>
        </w:rPr>
        <w:t>、优秀</w:t>
      </w:r>
      <w:r>
        <w:rPr>
          <w:rFonts w:eastAsia="楷体_GB2312" w:ascii="楷体_GB2312" w:hAnsi="楷体_GB2312"/>
          <w:b/>
          <w:sz w:val="30"/>
          <w:szCs w:val="30"/>
        </w:rPr>
        <w:t>B</w:t>
      </w:r>
      <w:r>
        <w:rPr>
          <w:rFonts w:ascii="楷体_GB2312" w:hAnsi="楷体_GB2312" w:eastAsia="楷体_GB2312"/>
          <w:b/>
          <w:sz w:val="30"/>
          <w:szCs w:val="30"/>
        </w:rPr>
        <w:t>：</w:t>
      </w:r>
      <w:r>
        <w:rPr>
          <w:rFonts w:eastAsia="楷体_GB2312" w:ascii="楷体_GB2312" w:hAnsi="楷体_GB2312"/>
          <w:b/>
          <w:sz w:val="30"/>
          <w:szCs w:val="30"/>
        </w:rPr>
        <w:t>[1.1</w:t>
      </w:r>
      <w:r>
        <w:rPr>
          <w:rFonts w:ascii="楷体_GB2312" w:hAnsi="楷体_GB2312" w:eastAsia="楷体_GB2312"/>
          <w:b/>
          <w:sz w:val="30"/>
          <w:szCs w:val="30"/>
        </w:rPr>
        <w:t>，</w:t>
      </w:r>
      <w:r>
        <w:rPr>
          <w:rFonts w:eastAsia="楷体_GB2312" w:ascii="楷体_GB2312" w:hAnsi="楷体_GB2312"/>
          <w:b/>
          <w:sz w:val="30"/>
          <w:szCs w:val="30"/>
        </w:rPr>
        <w:t>1.4]</w:t>
      </w:r>
      <w:r>
        <w:rPr>
          <w:rFonts w:ascii="楷体_GB2312" w:hAnsi="楷体_GB2312" w:eastAsia="楷体_GB2312"/>
          <w:b/>
          <w:sz w:val="30"/>
          <w:szCs w:val="30"/>
        </w:rPr>
        <w:t>；</w:t>
      </w:r>
    </w:p>
    <w:p>
      <w:pPr>
        <w:pStyle w:val="Normal"/>
        <w:ind w:start="870" w:hanging="0"/>
        <w:rPr>
          <w:rFonts w:ascii="楷体_GB2312" w:hAnsi="楷体_GB2312" w:eastAsia="楷体_GB2312"/>
          <w:b/>
          <w:b/>
          <w:sz w:val="30"/>
          <w:szCs w:val="30"/>
        </w:rPr>
      </w:pPr>
      <w:r>
        <w:rPr>
          <w:rFonts w:eastAsia="楷体_GB2312" w:cs="楷体_GB2312" w:ascii="楷体_GB2312" w:hAnsi="楷体_GB2312"/>
          <w:b/>
          <w:sz w:val="30"/>
          <w:szCs w:val="30"/>
        </w:rPr>
        <w:t xml:space="preserve"> </w:t>
      </w:r>
      <w:r>
        <w:rPr>
          <w:rFonts w:eastAsia="楷体_GB2312" w:ascii="楷体_GB2312" w:hAnsi="楷体_GB2312"/>
          <w:b/>
          <w:sz w:val="30"/>
          <w:szCs w:val="30"/>
        </w:rPr>
        <w:t>3</w:t>
      </w:r>
      <w:r>
        <w:rPr>
          <w:rFonts w:ascii="楷体_GB2312" w:hAnsi="楷体_GB2312" w:eastAsia="楷体_GB2312"/>
          <w:b/>
          <w:sz w:val="30"/>
          <w:szCs w:val="30"/>
        </w:rPr>
        <w:t>、称职</w:t>
      </w:r>
      <w:r>
        <w:rPr>
          <w:rFonts w:eastAsia="楷体_GB2312" w:ascii="楷体_GB2312" w:hAnsi="楷体_GB2312"/>
          <w:b/>
          <w:sz w:val="30"/>
          <w:szCs w:val="30"/>
        </w:rPr>
        <w:t>c</w:t>
      </w:r>
      <w:r>
        <w:rPr>
          <w:rFonts w:ascii="楷体_GB2312" w:hAnsi="楷体_GB2312" w:eastAsia="楷体_GB2312"/>
          <w:b/>
          <w:sz w:val="30"/>
          <w:szCs w:val="30"/>
        </w:rPr>
        <w:t>：</w:t>
      </w:r>
      <w:r>
        <w:rPr>
          <w:rFonts w:eastAsia="楷体_GB2312" w:ascii="楷体_GB2312" w:hAnsi="楷体_GB2312"/>
          <w:b/>
          <w:sz w:val="30"/>
          <w:szCs w:val="30"/>
        </w:rPr>
        <w:t>[1.0</w:t>
      </w:r>
      <w:r>
        <w:rPr>
          <w:rFonts w:ascii="楷体_GB2312" w:hAnsi="楷体_GB2312" w:eastAsia="楷体_GB2312"/>
          <w:b/>
          <w:sz w:val="30"/>
          <w:szCs w:val="30"/>
        </w:rPr>
        <w:t>，</w:t>
      </w:r>
      <w:r>
        <w:rPr>
          <w:rFonts w:eastAsia="楷体_GB2312" w:ascii="楷体_GB2312" w:hAnsi="楷体_GB2312"/>
          <w:b/>
          <w:sz w:val="30"/>
          <w:szCs w:val="30"/>
        </w:rPr>
        <w:t>1.2]</w:t>
      </w:r>
      <w:r>
        <w:rPr>
          <w:rFonts w:ascii="楷体_GB2312" w:hAnsi="楷体_GB2312" w:eastAsia="楷体_GB2312"/>
          <w:b/>
          <w:sz w:val="30"/>
          <w:szCs w:val="30"/>
        </w:rPr>
        <w:t>；</w:t>
      </w:r>
    </w:p>
    <w:p>
      <w:pPr>
        <w:pStyle w:val="Normal"/>
        <w:ind w:start="870" w:hanging="0"/>
        <w:rPr>
          <w:rFonts w:ascii="楷体_GB2312" w:hAnsi="楷体_GB2312" w:eastAsia="楷体_GB2312"/>
          <w:b/>
          <w:b/>
          <w:sz w:val="30"/>
          <w:szCs w:val="30"/>
        </w:rPr>
      </w:pPr>
      <w:r>
        <w:rPr>
          <w:rFonts w:eastAsia="楷体_GB2312" w:cs="楷体_GB2312" w:ascii="楷体_GB2312" w:hAnsi="楷体_GB2312"/>
          <w:b/>
          <w:sz w:val="30"/>
          <w:szCs w:val="30"/>
        </w:rPr>
        <w:t xml:space="preserve"> </w:t>
      </w:r>
      <w:r>
        <w:rPr>
          <w:rFonts w:eastAsia="楷体_GB2312" w:ascii="楷体_GB2312" w:hAnsi="楷体_GB2312"/>
          <w:b/>
          <w:sz w:val="30"/>
          <w:szCs w:val="30"/>
        </w:rPr>
        <w:t>4</w:t>
      </w:r>
      <w:r>
        <w:rPr>
          <w:rFonts w:ascii="楷体_GB2312" w:hAnsi="楷体_GB2312" w:eastAsia="楷体_GB2312"/>
          <w:b/>
          <w:sz w:val="30"/>
          <w:szCs w:val="30"/>
        </w:rPr>
        <w:t>、基本称职</w:t>
      </w:r>
      <w:r>
        <w:rPr>
          <w:rFonts w:eastAsia="楷体_GB2312" w:ascii="楷体_GB2312" w:hAnsi="楷体_GB2312"/>
          <w:b/>
          <w:sz w:val="30"/>
          <w:szCs w:val="30"/>
        </w:rPr>
        <w:t>D</w:t>
      </w:r>
      <w:r>
        <w:rPr>
          <w:rFonts w:ascii="楷体_GB2312" w:hAnsi="楷体_GB2312" w:eastAsia="楷体_GB2312"/>
          <w:b/>
          <w:sz w:val="30"/>
          <w:szCs w:val="30"/>
        </w:rPr>
        <w:t>：</w:t>
      </w:r>
      <w:r>
        <w:rPr>
          <w:rFonts w:eastAsia="楷体_GB2312" w:ascii="楷体_GB2312" w:hAnsi="楷体_GB2312"/>
          <w:b/>
          <w:sz w:val="30"/>
          <w:szCs w:val="30"/>
        </w:rPr>
        <w:t>[0.8</w:t>
      </w:r>
      <w:r>
        <w:rPr>
          <w:rFonts w:ascii="楷体_GB2312" w:hAnsi="楷体_GB2312" w:eastAsia="楷体_GB2312"/>
          <w:b/>
          <w:sz w:val="30"/>
          <w:szCs w:val="30"/>
        </w:rPr>
        <w:t>，</w:t>
      </w:r>
      <w:r>
        <w:rPr>
          <w:rFonts w:eastAsia="楷体_GB2312" w:ascii="楷体_GB2312" w:hAnsi="楷体_GB2312"/>
          <w:b/>
          <w:sz w:val="30"/>
          <w:szCs w:val="30"/>
        </w:rPr>
        <w:t>0.95]</w:t>
      </w:r>
      <w:r>
        <w:rPr>
          <w:rFonts w:ascii="楷体_GB2312" w:hAnsi="楷体_GB2312" w:eastAsia="楷体_GB2312"/>
          <w:b/>
          <w:sz w:val="30"/>
          <w:szCs w:val="30"/>
        </w:rPr>
        <w:t>；</w:t>
      </w:r>
    </w:p>
    <w:p>
      <w:pPr>
        <w:pStyle w:val="Normal"/>
        <w:ind w:start="870" w:hanging="0"/>
        <w:rPr/>
      </w:pPr>
      <w:r>
        <w:rPr>
          <w:rFonts w:eastAsia="楷体_GB2312" w:cs="楷体_GB2312" w:ascii="楷体_GB2312" w:hAnsi="楷体_GB2312"/>
          <w:b/>
          <w:sz w:val="30"/>
          <w:szCs w:val="30"/>
        </w:rPr>
        <w:t xml:space="preserve"> </w:t>
      </w:r>
      <w:r>
        <w:rPr>
          <w:rFonts w:eastAsia="楷体_GB2312" w:ascii="楷体_GB2312" w:hAnsi="楷体_GB2312"/>
          <w:b/>
          <w:sz w:val="30"/>
          <w:szCs w:val="30"/>
        </w:rPr>
        <w:t>5</w:t>
      </w:r>
      <w:r>
        <w:rPr>
          <w:rFonts w:ascii="楷体_GB2312" w:hAnsi="楷体_GB2312" w:eastAsia="楷体_GB2312"/>
          <w:b/>
          <w:sz w:val="30"/>
          <w:szCs w:val="30"/>
        </w:rPr>
        <w:t>、不称职</w:t>
      </w:r>
      <w:r>
        <w:rPr>
          <w:rFonts w:eastAsia="楷体_GB2312" w:ascii="楷体_GB2312" w:hAnsi="楷体_GB2312"/>
          <w:b/>
          <w:sz w:val="30"/>
          <w:szCs w:val="30"/>
        </w:rPr>
        <w:t>E[0.4</w:t>
      </w:r>
      <w:r>
        <w:rPr>
          <w:rFonts w:ascii="楷体_GB2312" w:hAnsi="楷体_GB2312" w:eastAsia="楷体_GB2312"/>
          <w:b/>
          <w:sz w:val="30"/>
          <w:szCs w:val="30"/>
        </w:rPr>
        <w:t>，</w:t>
      </w:r>
      <w:r>
        <w:rPr>
          <w:rFonts w:eastAsia="楷体_GB2312" w:ascii="楷体_GB2312" w:hAnsi="楷体_GB2312"/>
          <w:b/>
          <w:sz w:val="30"/>
          <w:szCs w:val="30"/>
        </w:rPr>
        <w:t>0.6]</w:t>
      </w:r>
      <w:r>
        <w:rPr>
          <w:rFonts w:ascii="楷体_GB2312" w:hAnsi="楷体_GB2312" w:eastAsia="楷体_GB2312"/>
          <w:b/>
          <w:sz w:val="30"/>
          <w:szCs w:val="30"/>
        </w:rPr>
        <w:t>。</w:t>
      </w:r>
    </w:p>
    <w:p>
      <w:pPr>
        <w:pStyle w:val="Normal"/>
        <w:ind w:firstLine="774"/>
        <w:rPr>
          <w:rFonts w:ascii="楷体_GB2312" w:hAnsi="楷体_GB2312" w:eastAsia="楷体_GB2312"/>
          <w:b/>
          <w:b/>
          <w:sz w:val="30"/>
          <w:szCs w:val="30"/>
        </w:rPr>
      </w:pPr>
      <w:r>
        <w:rPr>
          <w:rFonts w:ascii="楷体_GB2312" w:hAnsi="楷体_GB2312" w:eastAsia="楷体_GB2312"/>
          <w:b/>
          <w:sz w:val="30"/>
          <w:szCs w:val="30"/>
        </w:rPr>
        <w:t>第二十四条  部门</w:t>
      </w:r>
      <w:r>
        <w:rPr>
          <w:rFonts w:eastAsia="楷体_GB2312" w:ascii="楷体_GB2312" w:hAnsi="楷体_GB2312"/>
          <w:b/>
          <w:sz w:val="30"/>
          <w:szCs w:val="30"/>
        </w:rPr>
        <w:t>(</w:t>
      </w:r>
      <w:r>
        <w:rPr>
          <w:rFonts w:ascii="楷体_GB2312" w:hAnsi="楷体_GB2312" w:eastAsia="楷体_GB2312"/>
          <w:b/>
          <w:sz w:val="30"/>
          <w:szCs w:val="30"/>
        </w:rPr>
        <w:t>班站</w:t>
      </w:r>
      <w:r>
        <w:rPr>
          <w:rFonts w:eastAsia="楷体_GB2312" w:ascii="楷体_GB2312" w:hAnsi="楷体_GB2312"/>
          <w:b/>
          <w:sz w:val="30"/>
          <w:szCs w:val="30"/>
        </w:rPr>
        <w:t>)</w:t>
      </w:r>
      <w:r>
        <w:rPr>
          <w:rFonts w:ascii="楷体_GB2312" w:hAnsi="楷体_GB2312" w:eastAsia="楷体_GB2312"/>
          <w:b/>
          <w:sz w:val="30"/>
          <w:szCs w:val="30"/>
        </w:rPr>
        <w:t>绩效奖金实行二次分配。</w:t>
      </w:r>
    </w:p>
    <w:p>
      <w:pPr>
        <w:pStyle w:val="Normal"/>
        <w:ind w:firstLine="602"/>
        <w:rPr>
          <w:rFonts w:ascii="楷体_GB2312" w:hAnsi="楷体_GB2312" w:eastAsia="楷体_GB2312"/>
          <w:b/>
          <w:b/>
          <w:sz w:val="30"/>
          <w:szCs w:val="30"/>
        </w:rPr>
      </w:pPr>
      <w:r>
        <w:rPr>
          <w:rFonts w:eastAsia="楷体_GB2312" w:ascii="楷体_GB2312" w:hAnsi="楷体_GB2312"/>
          <w:b/>
          <w:sz w:val="30"/>
          <w:szCs w:val="30"/>
        </w:rPr>
        <w:t>(</w:t>
      </w:r>
      <w:r>
        <w:rPr>
          <w:rFonts w:ascii="楷体_GB2312" w:hAnsi="楷体_GB2312" w:eastAsia="楷体_GB2312"/>
          <w:b/>
          <w:sz w:val="30"/>
          <w:szCs w:val="30"/>
        </w:rPr>
        <w:t>一</w:t>
      </w:r>
      <w:r>
        <w:rPr>
          <w:rFonts w:eastAsia="楷体_GB2312" w:ascii="楷体_GB2312" w:hAnsi="楷体_GB2312"/>
          <w:b/>
          <w:sz w:val="30"/>
          <w:szCs w:val="30"/>
        </w:rPr>
        <w:t>)</w:t>
      </w:r>
      <w:r>
        <w:rPr>
          <w:rFonts w:ascii="楷体_GB2312" w:hAnsi="楷体_GB2312" w:eastAsia="楷体_GB2312"/>
          <w:b/>
          <w:sz w:val="30"/>
          <w:szCs w:val="30"/>
        </w:rPr>
        <w:t>部门绩效奖金基数</w:t>
      </w:r>
      <w:r>
        <w:rPr>
          <w:rFonts w:eastAsia="楷体_GB2312" w:ascii="楷体_GB2312" w:hAnsi="楷体_GB2312"/>
          <w:b/>
          <w:sz w:val="30"/>
          <w:szCs w:val="30"/>
        </w:rPr>
        <w:t>=</w:t>
      </w:r>
      <w:r>
        <w:rPr>
          <w:rFonts w:ascii="楷体_GB2312" w:hAnsi="楷体_GB2312" w:eastAsia="楷体_GB2312"/>
          <w:b/>
          <w:sz w:val="30"/>
          <w:szCs w:val="30"/>
        </w:rPr>
        <w:t>单位奖金基数</w:t>
      </w:r>
      <w:r>
        <w:rPr>
          <w:rFonts w:eastAsia="楷体_GB2312" w:ascii="楷体_GB2312" w:hAnsi="楷体_GB2312"/>
          <w:b/>
          <w:sz w:val="30"/>
          <w:szCs w:val="30"/>
        </w:rPr>
        <w:t>×</w:t>
      </w:r>
      <w:r>
        <w:rPr>
          <w:rFonts w:ascii="楷体_GB2312" w:hAnsi="楷体_GB2312" w:eastAsia="楷体_GB2312"/>
          <w:b/>
          <w:sz w:val="30"/>
          <w:szCs w:val="30"/>
        </w:rPr>
        <w:t>绩效奖金分配比例</w:t>
      </w:r>
      <w:r>
        <w:rPr>
          <w:rFonts w:eastAsia="楷体_GB2312" w:ascii="楷体_GB2312" w:hAnsi="楷体_GB2312"/>
          <w:b/>
          <w:sz w:val="30"/>
          <w:szCs w:val="30"/>
        </w:rPr>
        <w:t>÷(∑(</w:t>
      </w:r>
      <w:r>
        <w:rPr>
          <w:rFonts w:ascii="楷体_GB2312" w:hAnsi="楷体_GB2312" w:eastAsia="楷体_GB2312"/>
          <w:b/>
          <w:sz w:val="30"/>
          <w:szCs w:val="30"/>
        </w:rPr>
        <w:t>部门系数</w:t>
      </w:r>
      <w:r>
        <w:rPr>
          <w:rFonts w:eastAsia="楷体_GB2312" w:ascii="楷体_GB2312" w:hAnsi="楷体_GB2312"/>
          <w:b/>
          <w:sz w:val="30"/>
          <w:szCs w:val="30"/>
        </w:rPr>
        <w:t>×</w:t>
      </w:r>
      <w:r>
        <w:rPr>
          <w:rFonts w:ascii="楷体_GB2312" w:hAnsi="楷体_GB2312" w:eastAsia="楷体_GB2312"/>
          <w:b/>
          <w:sz w:val="30"/>
          <w:szCs w:val="30"/>
        </w:rPr>
        <w:t>部门员工人数</w:t>
      </w:r>
      <w:r>
        <w:rPr>
          <w:rFonts w:eastAsia="楷体_GB2312" w:ascii="楷体_GB2312" w:hAnsi="楷体_GB2312"/>
          <w:b/>
          <w:sz w:val="30"/>
          <w:szCs w:val="30"/>
        </w:rPr>
        <w:t>×</w:t>
      </w:r>
      <w:r>
        <w:rPr>
          <w:rFonts w:ascii="楷体_GB2312" w:hAnsi="楷体_GB2312" w:eastAsia="楷体_GB2312"/>
          <w:b/>
          <w:sz w:val="30"/>
          <w:szCs w:val="30"/>
        </w:rPr>
        <w:t>部门绩效系数</w:t>
      </w:r>
      <w:r>
        <w:rPr>
          <w:rFonts w:eastAsia="楷体_GB2312" w:ascii="楷体_GB2312" w:hAnsi="楷体_GB2312"/>
          <w:b/>
          <w:sz w:val="30"/>
          <w:szCs w:val="30"/>
        </w:rPr>
        <w:t>))×</w:t>
      </w:r>
      <w:r>
        <w:rPr>
          <w:rFonts w:ascii="楷体_GB2312" w:hAnsi="楷体_GB2312" w:eastAsia="楷体_GB2312"/>
          <w:b/>
          <w:sz w:val="30"/>
          <w:szCs w:val="30"/>
        </w:rPr>
        <w:t>部门人数</w:t>
      </w:r>
      <w:r>
        <w:rPr>
          <w:rFonts w:eastAsia="楷体_GB2312" w:ascii="楷体_GB2312" w:hAnsi="楷体_GB2312"/>
          <w:b/>
          <w:sz w:val="30"/>
          <w:szCs w:val="30"/>
        </w:rPr>
        <w:t>×</w:t>
      </w:r>
      <w:r>
        <w:rPr>
          <w:rFonts w:ascii="楷体_GB2312" w:hAnsi="楷体_GB2312" w:eastAsia="楷体_GB2312"/>
          <w:b/>
          <w:sz w:val="30"/>
          <w:szCs w:val="30"/>
        </w:rPr>
        <w:t>部门系数</w:t>
      </w:r>
      <w:r>
        <w:rPr>
          <w:rFonts w:eastAsia="楷体_GB2312" w:ascii="楷体_GB2312" w:hAnsi="楷体_GB2312"/>
          <w:b/>
          <w:sz w:val="30"/>
          <w:szCs w:val="30"/>
        </w:rPr>
        <w:t>×</w:t>
      </w:r>
      <w:r>
        <w:rPr>
          <w:rFonts w:ascii="楷体_GB2312" w:hAnsi="楷体_GB2312" w:eastAsia="楷体_GB2312"/>
          <w:b/>
          <w:sz w:val="30"/>
          <w:szCs w:val="30"/>
        </w:rPr>
        <w:t>部门绩效系数</w:t>
      </w:r>
    </w:p>
    <w:p>
      <w:pPr>
        <w:pStyle w:val="Normal"/>
        <w:ind w:start="870" w:hanging="0"/>
        <w:rPr/>
      </w:pPr>
      <w:r>
        <w:rPr>
          <w:rFonts w:eastAsia="楷体_GB2312" w:cs="楷体_GB2312" w:ascii="楷体_GB2312" w:hAnsi="楷体_GB2312"/>
          <w:b/>
          <w:sz w:val="30"/>
          <w:szCs w:val="30"/>
        </w:rPr>
        <w:t xml:space="preserve"> </w:t>
      </w:r>
      <w:r>
        <w:rPr>
          <w:rFonts w:eastAsia="楷体_GB2312" w:ascii="楷体_GB2312" w:hAnsi="楷体_GB2312"/>
          <w:b/>
          <w:sz w:val="30"/>
          <w:szCs w:val="30"/>
        </w:rPr>
        <w:t>1</w:t>
      </w:r>
      <w:r>
        <w:rPr>
          <w:rFonts w:ascii="楷体_GB2312" w:hAnsi="楷体_GB2312" w:eastAsia="楷体_GB2312"/>
          <w:b/>
          <w:sz w:val="30"/>
          <w:szCs w:val="30"/>
        </w:rPr>
        <w:t>、单位奖金基数</w:t>
      </w:r>
      <w:r>
        <w:rPr>
          <w:rFonts w:eastAsia="楷体_GB2312" w:ascii="楷体_GB2312" w:hAnsi="楷体_GB2312"/>
          <w:b/>
          <w:sz w:val="30"/>
          <w:szCs w:val="30"/>
        </w:rPr>
        <w:t>=</w:t>
      </w:r>
      <w:r>
        <w:rPr>
          <w:rFonts w:ascii="楷体_GB2312" w:hAnsi="楷体_GB2312" w:eastAsia="楷体_GB2312"/>
          <w:b/>
          <w:sz w:val="30"/>
          <w:szCs w:val="30"/>
        </w:rPr>
        <w:t>工资总额</w:t>
      </w:r>
      <w:r>
        <w:rPr>
          <w:rFonts w:eastAsia="楷体_GB2312" w:ascii="楷体_GB2312" w:hAnsi="楷体_GB2312"/>
          <w:b/>
          <w:sz w:val="30"/>
          <w:szCs w:val="30"/>
        </w:rPr>
        <w:t>-∑</w:t>
      </w:r>
      <w:r>
        <w:rPr>
          <w:rFonts w:ascii="楷体_GB2312" w:hAnsi="楷体_GB2312" w:eastAsia="楷体_GB2312"/>
          <w:b/>
          <w:sz w:val="30"/>
          <w:szCs w:val="30"/>
        </w:rPr>
        <w:t>员工基本收入</w:t>
      </w:r>
    </w:p>
    <w:p>
      <w:pPr>
        <w:pStyle w:val="Normal"/>
        <w:ind w:start="870" w:hanging="0"/>
        <w:rPr/>
      </w:pPr>
      <w:r>
        <w:rPr>
          <w:rFonts w:eastAsia="楷体_GB2312" w:cs="楷体_GB2312" w:ascii="楷体_GB2312" w:hAnsi="楷体_GB2312"/>
          <w:b/>
          <w:sz w:val="30"/>
          <w:szCs w:val="30"/>
        </w:rPr>
        <w:t xml:space="preserve"> </w:t>
      </w:r>
      <w:r>
        <w:rPr>
          <w:rFonts w:eastAsia="楷体_GB2312" w:ascii="楷体_GB2312" w:hAnsi="楷体_GB2312"/>
          <w:b/>
          <w:sz w:val="30"/>
          <w:szCs w:val="30"/>
        </w:rPr>
        <w:t>2</w:t>
      </w:r>
      <w:r>
        <w:rPr>
          <w:rFonts w:ascii="楷体_GB2312" w:hAnsi="楷体_GB2312" w:eastAsia="楷体_GB2312"/>
          <w:b/>
          <w:sz w:val="30"/>
          <w:szCs w:val="30"/>
        </w:rPr>
        <w:t>、绩效奖金分配比例是指用于绩效考核奖励工资占单位奖金基数的百分比。</w:t>
      </w:r>
    </w:p>
    <w:p>
      <w:pPr>
        <w:pStyle w:val="Normal"/>
        <w:ind w:start="870" w:hanging="0"/>
        <w:rPr/>
      </w:pPr>
      <w:r>
        <w:rPr>
          <w:rFonts w:eastAsia="楷体_GB2312" w:cs="楷体_GB2312" w:ascii="楷体_GB2312" w:hAnsi="楷体_GB2312"/>
          <w:b/>
          <w:sz w:val="30"/>
          <w:szCs w:val="30"/>
        </w:rPr>
        <w:t xml:space="preserve"> </w:t>
      </w:r>
      <w:r>
        <w:rPr>
          <w:rFonts w:eastAsia="楷体_GB2312" w:ascii="楷体_GB2312" w:hAnsi="楷体_GB2312"/>
          <w:b/>
          <w:sz w:val="30"/>
          <w:szCs w:val="30"/>
        </w:rPr>
        <w:t>3</w:t>
      </w:r>
      <w:r>
        <w:rPr>
          <w:rFonts w:ascii="楷体_GB2312" w:hAnsi="楷体_GB2312" w:eastAsia="楷体_GB2312"/>
          <w:b/>
          <w:sz w:val="30"/>
          <w:szCs w:val="30"/>
        </w:rPr>
        <w:t>、部门系数是指各单位依据部门工作性质确定的系数，建议采用绩效考核前发放奖金的系数。</w:t>
      </w:r>
    </w:p>
    <w:p>
      <w:pPr>
        <w:pStyle w:val="Normal"/>
        <w:ind w:firstLine="578"/>
        <w:rPr>
          <w:rFonts w:ascii="楷体_GB2312" w:hAnsi="楷体_GB2312" w:eastAsia="楷体_GB2312"/>
          <w:b/>
          <w:b/>
          <w:sz w:val="30"/>
          <w:szCs w:val="30"/>
        </w:rPr>
      </w:pPr>
      <w:r>
        <w:rPr>
          <w:rFonts w:eastAsia="楷体_GB2312" w:ascii="楷体_GB2312" w:hAnsi="楷体_GB2312"/>
          <w:b/>
          <w:sz w:val="30"/>
          <w:szCs w:val="30"/>
        </w:rPr>
        <w:t>(</w:t>
      </w:r>
      <w:r>
        <w:rPr>
          <w:rFonts w:ascii="楷体_GB2312" w:hAnsi="楷体_GB2312" w:eastAsia="楷体_GB2312"/>
          <w:b/>
          <w:sz w:val="30"/>
          <w:szCs w:val="30"/>
        </w:rPr>
        <w:t>二</w:t>
      </w:r>
      <w:r>
        <w:rPr>
          <w:rFonts w:eastAsia="楷体_GB2312" w:ascii="楷体_GB2312" w:hAnsi="楷体_GB2312"/>
          <w:b/>
          <w:sz w:val="30"/>
          <w:szCs w:val="30"/>
        </w:rPr>
        <w:t>)</w:t>
      </w:r>
      <w:r>
        <w:rPr>
          <w:rFonts w:ascii="楷体_GB2312" w:hAnsi="楷体_GB2312" w:eastAsia="楷体_GB2312"/>
          <w:b/>
          <w:sz w:val="30"/>
          <w:szCs w:val="30"/>
        </w:rPr>
        <w:t>员工绩效奖金</w:t>
      </w:r>
      <w:r>
        <w:rPr>
          <w:rFonts w:eastAsia="楷体_GB2312" w:ascii="楷体_GB2312" w:hAnsi="楷体_GB2312"/>
          <w:b/>
          <w:sz w:val="30"/>
          <w:szCs w:val="30"/>
        </w:rPr>
        <w:t>=</w:t>
      </w:r>
      <w:r>
        <w:rPr>
          <w:rFonts w:ascii="楷体_GB2312" w:hAnsi="楷体_GB2312" w:eastAsia="楷体_GB2312"/>
          <w:b/>
          <w:sz w:val="30"/>
          <w:szCs w:val="30"/>
        </w:rPr>
        <w:t>部门绩效奖金基数</w:t>
      </w:r>
      <w:r>
        <w:rPr>
          <w:rFonts w:eastAsia="楷体_GB2312" w:ascii="楷体_GB2312" w:hAnsi="楷体_GB2312"/>
          <w:b/>
          <w:sz w:val="30"/>
          <w:szCs w:val="30"/>
        </w:rPr>
        <w:t>÷∑(</w:t>
      </w:r>
      <w:r>
        <w:rPr>
          <w:rFonts w:ascii="楷体_GB2312" w:hAnsi="楷体_GB2312" w:eastAsia="楷体_GB2312"/>
          <w:b/>
          <w:sz w:val="30"/>
          <w:szCs w:val="30"/>
        </w:rPr>
        <w:t>员工绩效系数</w:t>
      </w:r>
      <w:r>
        <w:rPr>
          <w:rFonts w:eastAsia="楷体_GB2312" w:ascii="楷体_GB2312" w:hAnsi="楷体_GB2312"/>
          <w:b/>
          <w:sz w:val="30"/>
          <w:szCs w:val="30"/>
        </w:rPr>
        <w:t>×</w:t>
      </w:r>
      <w:r>
        <w:rPr>
          <w:rFonts w:ascii="楷体_GB2312" w:hAnsi="楷体_GB2312" w:eastAsia="楷体_GB2312"/>
          <w:b/>
          <w:sz w:val="30"/>
          <w:szCs w:val="30"/>
        </w:rPr>
        <w:t>员工岗位系数</w:t>
      </w:r>
      <w:r>
        <w:rPr>
          <w:rFonts w:eastAsia="楷体_GB2312" w:ascii="楷体_GB2312" w:hAnsi="楷体_GB2312"/>
          <w:b/>
          <w:sz w:val="30"/>
          <w:szCs w:val="30"/>
        </w:rPr>
        <w:t>)×</w:t>
      </w:r>
      <w:r>
        <w:rPr>
          <w:rFonts w:ascii="楷体_GB2312" w:hAnsi="楷体_GB2312" w:eastAsia="楷体_GB2312"/>
          <w:b/>
          <w:sz w:val="30"/>
          <w:szCs w:val="30"/>
        </w:rPr>
        <w:t>员工绩效系数</w:t>
      </w:r>
      <w:r>
        <w:rPr>
          <w:rFonts w:eastAsia="楷体_GB2312" w:ascii="楷体_GB2312" w:hAnsi="楷体_GB2312"/>
          <w:b/>
          <w:sz w:val="30"/>
          <w:szCs w:val="30"/>
        </w:rPr>
        <w:t>×</w:t>
      </w:r>
      <w:r>
        <w:rPr>
          <w:rFonts w:ascii="楷体_GB2312" w:hAnsi="楷体_GB2312" w:eastAsia="楷体_GB2312"/>
          <w:b/>
          <w:sz w:val="30"/>
          <w:szCs w:val="30"/>
        </w:rPr>
        <w:t>员工岗位系数</w:t>
      </w:r>
    </w:p>
    <w:p>
      <w:pPr>
        <w:pStyle w:val="Normal"/>
        <w:ind w:firstLine="904"/>
        <w:rPr>
          <w:rFonts w:ascii="楷体_GB2312" w:hAnsi="楷体_GB2312" w:eastAsia="楷体_GB2312"/>
          <w:b/>
          <w:b/>
          <w:sz w:val="30"/>
          <w:szCs w:val="30"/>
        </w:rPr>
      </w:pPr>
      <w:r>
        <w:rPr>
          <w:rFonts w:ascii="楷体_GB2312" w:hAnsi="楷体_GB2312" w:eastAsia="楷体_GB2312"/>
          <w:b/>
          <w:sz w:val="30"/>
          <w:szCs w:val="30"/>
        </w:rPr>
        <w:t>员工岗位系数是指各单位依据岗位性质设定的奖金系数。</w:t>
      </w:r>
    </w:p>
    <w:p>
      <w:pPr>
        <w:pStyle w:val="Normal"/>
        <w:ind w:firstLine="602"/>
        <w:rPr>
          <w:rFonts w:ascii="楷体_GB2312" w:hAnsi="楷体_GB2312" w:eastAsia="楷体_GB2312"/>
          <w:b/>
          <w:b/>
          <w:sz w:val="30"/>
          <w:szCs w:val="30"/>
        </w:rPr>
      </w:pPr>
      <w:r>
        <w:rPr>
          <w:rFonts w:eastAsia="楷体_GB2312" w:ascii="楷体_GB2312" w:hAnsi="楷体_GB2312"/>
          <w:b/>
          <w:sz w:val="30"/>
          <w:szCs w:val="30"/>
        </w:rPr>
        <w:t>(</w:t>
      </w:r>
      <w:r>
        <w:rPr>
          <w:rFonts w:ascii="楷体_GB2312" w:hAnsi="楷体_GB2312" w:eastAsia="楷体_GB2312"/>
          <w:b/>
          <w:sz w:val="30"/>
          <w:szCs w:val="30"/>
        </w:rPr>
        <w:t>三</w:t>
      </w:r>
      <w:r>
        <w:rPr>
          <w:rFonts w:eastAsia="楷体_GB2312" w:ascii="楷体_GB2312" w:hAnsi="楷体_GB2312"/>
          <w:b/>
          <w:sz w:val="30"/>
          <w:szCs w:val="30"/>
        </w:rPr>
        <w:t>)</w:t>
      </w:r>
      <w:r>
        <w:rPr>
          <w:rFonts w:ascii="楷体_GB2312" w:hAnsi="楷体_GB2312" w:eastAsia="楷体_GB2312"/>
          <w:b/>
          <w:sz w:val="30"/>
          <w:szCs w:val="30"/>
        </w:rPr>
        <w:t>班站及其员工绩效奖金分配按照部门及其员工绩效奖金分配方法进行。</w:t>
      </w:r>
    </w:p>
    <w:p>
      <w:pPr>
        <w:pStyle w:val="Normal"/>
        <w:ind w:firstLine="578"/>
        <w:rPr>
          <w:rFonts w:ascii="楷体_GB2312" w:hAnsi="楷体_GB2312" w:eastAsia="楷体_GB2312"/>
          <w:b/>
          <w:b/>
          <w:sz w:val="30"/>
          <w:szCs w:val="30"/>
        </w:rPr>
      </w:pPr>
      <w:r>
        <w:rPr>
          <w:rFonts w:ascii="楷体_GB2312" w:hAnsi="楷体_GB2312" w:eastAsia="楷体_GB2312"/>
          <w:b/>
          <w:sz w:val="30"/>
          <w:szCs w:val="30"/>
        </w:rPr>
        <w:t>第二十五条  员工岗级和薪级浮动、人才津贴发放依据其绩效考核结果，按《某省电力公司绩效薪点工资实施办法》计算、兑现。</w:t>
      </w:r>
    </w:p>
    <w:p>
      <w:pPr>
        <w:pStyle w:val="Normal"/>
        <w:ind w:firstLine="578"/>
        <w:rPr>
          <w:rFonts w:ascii="楷体_GB2312" w:hAnsi="楷体_GB2312" w:eastAsia="楷体_GB2312"/>
          <w:b/>
          <w:b/>
          <w:sz w:val="30"/>
          <w:szCs w:val="30"/>
        </w:rPr>
      </w:pPr>
      <w:r>
        <w:rPr>
          <w:rFonts w:ascii="楷体_GB2312" w:hAnsi="楷体_GB2312" w:eastAsia="楷体_GB2312"/>
          <w:b/>
          <w:sz w:val="30"/>
          <w:szCs w:val="30"/>
        </w:rPr>
        <w:t>第二十六条  员工年度绩效考核结果为“称职”及以上等级者，方可参加更高级别岗位的竟聘。</w:t>
      </w:r>
    </w:p>
    <w:p>
      <w:pPr>
        <w:pStyle w:val="Normal"/>
        <w:ind w:firstLine="578"/>
        <w:rPr>
          <w:rFonts w:ascii="楷体_GB2312" w:hAnsi="楷体_GB2312" w:eastAsia="楷体_GB2312"/>
          <w:b/>
          <w:b/>
          <w:sz w:val="30"/>
          <w:szCs w:val="30"/>
        </w:rPr>
      </w:pPr>
      <w:r>
        <w:rPr>
          <w:rFonts w:ascii="楷体_GB2312" w:hAnsi="楷体_GB2312" w:eastAsia="楷体_GB2312"/>
          <w:b/>
          <w:sz w:val="30"/>
          <w:szCs w:val="30"/>
        </w:rPr>
        <w:t>第二十七条  绩效考核结果为“基本称职”者，直接主管应向其提出绩效改进建议，寻找差距，使其改善绩效。年度绩效考核结果为“不称职”者，所在单位应给予离岗培训或调整工作岗位，薪酬随岗位变动而降低。经离岗培训或调整工作岗位后仍不能胜任工作的，挂靠各单位人才交流中心并实行持续培训至具备上岗条件止。</w:t>
      </w:r>
    </w:p>
    <w:p>
      <w:pPr>
        <w:pStyle w:val="Normal"/>
        <w:ind w:firstLine="578"/>
        <w:rPr>
          <w:rFonts w:ascii="楷体_GB2312" w:hAnsi="楷体_GB2312" w:eastAsia="楷体_GB2312"/>
          <w:b/>
          <w:b/>
          <w:sz w:val="30"/>
          <w:szCs w:val="30"/>
        </w:rPr>
      </w:pPr>
      <w:r>
        <w:rPr>
          <w:rFonts w:eastAsia="楷体_GB2312" w:cs="楷体_GB2312" w:ascii="楷体_GB2312" w:hAnsi="楷体_GB2312"/>
          <w:b/>
          <w:sz w:val="30"/>
          <w:szCs w:val="30"/>
        </w:rPr>
        <w:t xml:space="preserve"> </w:t>
      </w:r>
      <w:r>
        <w:rPr>
          <w:rFonts w:ascii="楷体_GB2312" w:hAnsi="楷体_GB2312" w:eastAsia="楷体_GB2312"/>
          <w:b/>
          <w:sz w:val="30"/>
          <w:szCs w:val="30"/>
        </w:rPr>
        <w:t>第二十八条  直接主管必须根据员工的绩效考核结果，与员工一起对考核中未达绩效标准的项目进行分析，制定相应的改进措施，提出绩效改进计划，并将改进计划列入下一期的考核内容。</w:t>
      </w:r>
    </w:p>
    <w:p>
      <w:pPr>
        <w:pStyle w:val="Normal"/>
        <w:ind w:firstLine="602"/>
        <w:rPr>
          <w:rFonts w:ascii="楷体_GB2312" w:hAnsi="楷体_GB2312" w:eastAsia="楷体_GB2312"/>
          <w:b/>
          <w:b/>
          <w:sz w:val="30"/>
          <w:szCs w:val="30"/>
        </w:rPr>
      </w:pPr>
      <w:r>
        <w:rPr>
          <w:rFonts w:ascii="楷体_GB2312" w:hAnsi="楷体_GB2312" w:eastAsia="楷体_GB2312"/>
          <w:b/>
          <w:sz w:val="30"/>
          <w:szCs w:val="30"/>
        </w:rPr>
        <w:t>第二十九条  各单位要结合员工的绩效考核情况，改进员工绩效计划，有针对性的开展员工潜能开发和教育培训工作，作为落实员工职业生涯发展规划的依据。</w:t>
      </w:r>
    </w:p>
    <w:p>
      <w:pPr>
        <w:pStyle w:val="Normal"/>
        <w:rPr>
          <w:rFonts w:ascii="楷体_GB2312" w:hAnsi="楷体_GB2312" w:eastAsia="楷体_GB2312"/>
          <w:b/>
          <w:b/>
          <w:sz w:val="30"/>
          <w:szCs w:val="30"/>
        </w:rPr>
      </w:pPr>
      <w:r>
        <w:rPr>
          <w:rFonts w:eastAsia="楷体_GB2312" w:ascii="楷体_GB2312" w:hAnsi="楷体_GB2312"/>
          <w:b/>
          <w:sz w:val="30"/>
          <w:szCs w:val="30"/>
        </w:rPr>
      </w:r>
    </w:p>
    <w:p>
      <w:pPr>
        <w:pStyle w:val="Normal"/>
        <w:jc w:val="center"/>
        <w:rPr/>
      </w:pPr>
      <w:r>
        <w:rPr>
          <w:rFonts w:ascii="楷体_GB2312" w:hAnsi="楷体_GB2312" w:eastAsia="楷体_GB2312"/>
          <w:b/>
          <w:sz w:val="30"/>
          <w:szCs w:val="30"/>
        </w:rPr>
        <w:t>第五章  考核管理</w:t>
      </w:r>
    </w:p>
    <w:p>
      <w:pPr>
        <w:pStyle w:val="Normal"/>
        <w:ind w:firstLine="602"/>
        <w:rPr>
          <w:rFonts w:ascii="楷体_GB2312" w:hAnsi="楷体_GB2312" w:eastAsia="楷体_GB2312"/>
          <w:b/>
          <w:b/>
          <w:sz w:val="30"/>
          <w:szCs w:val="30"/>
        </w:rPr>
      </w:pPr>
      <w:r>
        <w:rPr>
          <w:rFonts w:ascii="楷体_GB2312" w:hAnsi="楷体_GB2312" w:eastAsia="楷体_GB2312"/>
          <w:b/>
          <w:sz w:val="30"/>
          <w:szCs w:val="30"/>
        </w:rPr>
        <w:t>第三十条    实行全员绩效考核事关员工工作业绩的准确客观评价和员工工作潜能的开发，各单位要提高认识，统一思想，转变观念，切实加强领导。</w:t>
      </w:r>
    </w:p>
    <w:p>
      <w:pPr>
        <w:pStyle w:val="Normal"/>
        <w:ind w:firstLine="602"/>
        <w:rPr>
          <w:rFonts w:ascii="楷体_GB2312" w:hAnsi="楷体_GB2312" w:eastAsia="楷体_GB2312"/>
          <w:b/>
          <w:b/>
          <w:sz w:val="30"/>
          <w:szCs w:val="30"/>
        </w:rPr>
      </w:pPr>
      <w:r>
        <w:rPr>
          <w:rFonts w:ascii="楷体_GB2312" w:hAnsi="楷体_GB2312" w:eastAsia="楷体_GB2312"/>
          <w:b/>
          <w:sz w:val="30"/>
          <w:szCs w:val="30"/>
        </w:rPr>
        <w:t>第三十一条  公司设立绩效考核领导小组，组长、副组长由公司领导担任；成员由生技、安监、计划经营、财务、营销、审计、调度、工会、恩政、监察、人董、人资等部门负责人组成。下设办公室，挂靠人力资源部。主要负责制定公司系统企业负责人业绩考核管理办法和员工绩效考核管理办法，负责企业负责人的业绩考核与管理，指导、督促公司系统各单位开展部门、员工绩效的考核工作。</w:t>
      </w:r>
    </w:p>
    <w:p>
      <w:pPr>
        <w:pStyle w:val="Normal"/>
        <w:ind w:firstLine="602"/>
        <w:rPr>
          <w:rFonts w:ascii="楷体_GB2312" w:hAnsi="楷体_GB2312" w:eastAsia="楷体_GB2312"/>
          <w:b/>
          <w:b/>
          <w:sz w:val="30"/>
          <w:szCs w:val="30"/>
        </w:rPr>
      </w:pPr>
      <w:r>
        <w:rPr>
          <w:rFonts w:ascii="楷体_GB2312" w:hAnsi="楷体_GB2312" w:eastAsia="楷体_GB2312"/>
          <w:b/>
          <w:sz w:val="30"/>
          <w:szCs w:val="30"/>
        </w:rPr>
        <w:t>第三十二条  所属各单位设立本单位绩效考核领导小组，并成立企业绩效管理委员会。主任、副主任由企业负责人担任，成员由各有关部门负责人组成，全面负责本单位绩效考核工作的组织领导、监督检查、重大制度和事项的审定，以及受理各部门、员工的申诉等。绩效管理委员会下设绩效考核办公室，具体负责企业的绩效考核的协调、指导、检查督促、申诉受理、制度与系统管理和考核结果运用等日常工作。企业的各部门成立绩效管理工作小组，由部门负责人组成，负责制定本部门、员工绩效管理实施细则，并组织实施各项具体工作。</w:t>
      </w:r>
    </w:p>
    <w:p>
      <w:pPr>
        <w:pStyle w:val="Normal"/>
        <w:ind w:firstLine="602"/>
        <w:rPr>
          <w:rFonts w:ascii="楷体_GB2312" w:hAnsi="楷体_GB2312" w:eastAsia="楷体_GB2312"/>
          <w:b/>
          <w:b/>
          <w:sz w:val="30"/>
          <w:szCs w:val="30"/>
        </w:rPr>
      </w:pPr>
      <w:r>
        <w:rPr>
          <w:rFonts w:ascii="楷体_GB2312" w:hAnsi="楷体_GB2312" w:eastAsia="楷体_GB2312"/>
          <w:b/>
          <w:sz w:val="30"/>
          <w:szCs w:val="30"/>
        </w:rPr>
        <w:t>第三十三条  各单位要加强绩效考核的基础管理工作，建立健全岗位管理的各项制度和办法，严格执行编制、定员标准，明确部门及员工岗位职责，形成规范的岗位说明书，并进行岗位测评，为开展绩效考核奠定基础。</w:t>
      </w:r>
    </w:p>
    <w:p>
      <w:pPr>
        <w:pStyle w:val="Normal"/>
        <w:ind w:firstLine="602"/>
        <w:rPr>
          <w:rFonts w:ascii="楷体_GB2312" w:hAnsi="楷体_GB2312" w:eastAsia="楷体_GB2312"/>
          <w:b/>
          <w:b/>
          <w:sz w:val="30"/>
          <w:szCs w:val="30"/>
        </w:rPr>
      </w:pPr>
      <w:r>
        <w:rPr>
          <w:rFonts w:ascii="楷体_GB2312" w:hAnsi="楷体_GB2312" w:eastAsia="楷体_GB2312"/>
          <w:b/>
          <w:sz w:val="30"/>
          <w:szCs w:val="30"/>
        </w:rPr>
        <w:t>第三十四条  要严格执行绩效考核管理规定，严肃绩效考核纪律，保证绩效考核工作的质量和效果。考核者有佝私舞弊、弄虚作假等违纪行为的，一经查实，视情节给予严肃处理。</w:t>
      </w:r>
    </w:p>
    <w:p>
      <w:pPr>
        <w:pStyle w:val="Normal"/>
        <w:ind w:firstLine="602"/>
        <w:rPr>
          <w:rFonts w:ascii="楷体_GB2312" w:hAnsi="楷体_GB2312" w:eastAsia="楷体_GB2312"/>
          <w:b/>
          <w:b/>
          <w:sz w:val="30"/>
          <w:szCs w:val="30"/>
        </w:rPr>
      </w:pPr>
      <w:r>
        <w:rPr>
          <w:rFonts w:ascii="楷体_GB2312" w:hAnsi="楷体_GB2312" w:eastAsia="楷体_GB2312"/>
          <w:b/>
          <w:sz w:val="30"/>
          <w:szCs w:val="30"/>
        </w:rPr>
        <w:t>第三十五条  经过绩效反馈沟通后，员工对评价结果仍有异议的，可在</w:t>
      </w:r>
      <w:r>
        <w:rPr>
          <w:rFonts w:eastAsia="楷体_GB2312" w:ascii="楷体_GB2312" w:hAnsi="楷体_GB2312"/>
          <w:b/>
          <w:sz w:val="30"/>
          <w:szCs w:val="30"/>
        </w:rPr>
        <w:t>5</w:t>
      </w:r>
      <w:r>
        <w:rPr>
          <w:rFonts w:ascii="楷体_GB2312" w:hAnsi="楷体_GB2312" w:eastAsia="楷体_GB2312"/>
          <w:b/>
          <w:sz w:val="30"/>
          <w:szCs w:val="30"/>
        </w:rPr>
        <w:t>个工作日内，向直接主管的上级或本单位绩效管理委员会申诉。接到员工申诉后，直接主管的上级或绩效管理委员会应在</w:t>
      </w:r>
      <w:r>
        <w:rPr>
          <w:rFonts w:eastAsia="楷体_GB2312" w:ascii="楷体_GB2312" w:hAnsi="楷体_GB2312"/>
          <w:b/>
          <w:sz w:val="30"/>
          <w:szCs w:val="30"/>
        </w:rPr>
        <w:t>7</w:t>
      </w:r>
      <w:r>
        <w:rPr>
          <w:rFonts w:ascii="楷体_GB2312" w:hAnsi="楷体_GB2312" w:eastAsia="楷体_GB2312"/>
          <w:b/>
          <w:sz w:val="30"/>
          <w:szCs w:val="30"/>
        </w:rPr>
        <w:t>个工作日内进行复核审定。</w:t>
      </w:r>
    </w:p>
    <w:p>
      <w:pPr>
        <w:pStyle w:val="Normal"/>
        <w:ind w:firstLine="602"/>
        <w:rPr/>
      </w:pPr>
      <w:r>
        <w:rPr>
          <w:rFonts w:ascii="楷体_GB2312" w:hAnsi="楷体_GB2312" w:eastAsia="楷体_GB2312"/>
          <w:b/>
          <w:sz w:val="30"/>
          <w:szCs w:val="30"/>
        </w:rPr>
        <w:t>第三十六条  绩效考核工作涉及面广、信息量大，要有必要的技术支撑。各单位应结合</w:t>
      </w:r>
      <w:r>
        <w:rPr>
          <w:rFonts w:eastAsia="楷体_GB2312" w:ascii="楷体_GB2312" w:hAnsi="楷体_GB2312"/>
          <w:b/>
          <w:sz w:val="30"/>
          <w:szCs w:val="30"/>
        </w:rPr>
        <w:t>SG186</w:t>
      </w:r>
      <w:r>
        <w:rPr>
          <w:rFonts w:ascii="楷体_GB2312" w:hAnsi="楷体_GB2312" w:eastAsia="楷体_GB2312"/>
          <w:b/>
          <w:sz w:val="30"/>
          <w:szCs w:val="30"/>
        </w:rPr>
        <w:t>人力资源管理信息系统的建设，开发绩效考核管理系统，进行绩效合约的签订、绩效评价、评价结果的汇总、考核结果兑现、考绩档案保管等工作，全面提升绩效管理工作效率和管理水平。</w:t>
      </w:r>
    </w:p>
    <w:p>
      <w:pPr>
        <w:pStyle w:val="Normal"/>
        <w:jc w:val="center"/>
        <w:rPr/>
      </w:pPr>
      <w:r>
        <w:rPr>
          <w:rFonts w:ascii="楷体_GB2312" w:hAnsi="楷体_GB2312" w:eastAsia="楷体_GB2312"/>
          <w:b/>
          <w:sz w:val="30"/>
          <w:szCs w:val="30"/>
        </w:rPr>
        <w:t>第六章  附则</w:t>
      </w:r>
    </w:p>
    <w:p>
      <w:pPr>
        <w:pStyle w:val="Normal"/>
        <w:ind w:firstLine="602"/>
        <w:rPr>
          <w:rFonts w:ascii="楷体_GB2312" w:hAnsi="楷体_GB2312" w:eastAsia="楷体_GB2312"/>
          <w:b/>
          <w:b/>
          <w:sz w:val="30"/>
          <w:szCs w:val="30"/>
        </w:rPr>
      </w:pPr>
      <w:r>
        <w:rPr>
          <w:rFonts w:eastAsia="楷体_GB2312" w:cs="楷体_GB2312" w:ascii="楷体_GB2312" w:hAnsi="楷体_GB2312"/>
          <w:b/>
          <w:sz w:val="30"/>
          <w:szCs w:val="30"/>
        </w:rPr>
        <w:t xml:space="preserve">    </w:t>
      </w:r>
      <w:r>
        <w:rPr>
          <w:rFonts w:ascii="楷体_GB2312" w:hAnsi="楷体_GB2312" w:eastAsia="楷体_GB2312"/>
          <w:b/>
          <w:sz w:val="30"/>
          <w:szCs w:val="30"/>
        </w:rPr>
        <w:t>第三十七条  各单位应根据本办法的要求，制定本单位绩效考核实施办法，报公司备案。公司本部绩效考核实施办法由人事董事外事部负责组织和实施。</w:t>
      </w:r>
    </w:p>
    <w:p>
      <w:pPr>
        <w:pStyle w:val="Normal"/>
        <w:ind w:firstLine="602"/>
        <w:rPr>
          <w:rFonts w:ascii="楷体_GB2312" w:hAnsi="楷体_GB2312" w:eastAsia="楷体_GB2312"/>
          <w:b/>
          <w:b/>
          <w:sz w:val="30"/>
          <w:szCs w:val="30"/>
        </w:rPr>
      </w:pPr>
      <w:r>
        <w:rPr>
          <w:rFonts w:ascii="楷体_GB2312" w:hAnsi="楷体_GB2312" w:eastAsia="楷体_GB2312"/>
          <w:b/>
          <w:sz w:val="30"/>
          <w:szCs w:val="30"/>
        </w:rPr>
        <w:t>第三十八条  企业负责人绩效考核按《某省电力公司企业负责人业绩管理考核办法》执行。</w:t>
      </w:r>
    </w:p>
    <w:p>
      <w:pPr>
        <w:pStyle w:val="Normal"/>
        <w:ind w:firstLine="602"/>
        <w:rPr>
          <w:rFonts w:ascii="楷体_GB2312" w:hAnsi="楷体_GB2312" w:eastAsia="楷体_GB2312"/>
          <w:b/>
          <w:b/>
          <w:sz w:val="30"/>
          <w:szCs w:val="30"/>
        </w:rPr>
      </w:pPr>
      <w:r>
        <w:rPr>
          <w:rFonts w:ascii="楷体_GB2312" w:hAnsi="楷体_GB2312" w:eastAsia="楷体_GB2312"/>
          <w:b/>
          <w:sz w:val="30"/>
          <w:szCs w:val="30"/>
        </w:rPr>
        <w:t>第三十九条  本办法由公司人力资源部负责解释。</w:t>
      </w:r>
    </w:p>
    <w:p>
      <w:pPr>
        <w:pStyle w:val="Normal"/>
        <w:ind w:firstLine="602"/>
        <w:rPr>
          <w:rFonts w:ascii="楷体_GB2312" w:hAnsi="楷体_GB2312" w:eastAsia="楷体_GB2312"/>
          <w:b/>
          <w:b/>
          <w:sz w:val="30"/>
          <w:szCs w:val="30"/>
        </w:rPr>
      </w:pPr>
      <w:r>
        <w:rPr>
          <w:rFonts w:ascii="楷体_GB2312" w:hAnsi="楷体_GB2312" w:eastAsia="楷体_GB2312"/>
          <w:b/>
          <w:sz w:val="30"/>
          <w:szCs w:val="30"/>
        </w:rPr>
        <w:t>第四十条  本办法自印发之日起执行。</w:t>
      </w:r>
    </w:p>
    <w:p>
      <w:pPr>
        <w:pStyle w:val="Normal"/>
        <w:rPr>
          <w:rFonts w:ascii="楷体_GB2312" w:hAnsi="楷体_GB2312" w:eastAsia="楷体_GB2312"/>
          <w:b/>
          <w:b/>
          <w:sz w:val="30"/>
          <w:szCs w:val="30"/>
        </w:rPr>
      </w:pPr>
      <w:r>
        <w:rPr>
          <w:rFonts w:eastAsia="楷体_GB2312" w:ascii="楷体_GB2312" w:hAnsi="楷体_GB2312"/>
          <w:b/>
          <w:sz w:val="30"/>
          <w:szCs w:val="30"/>
        </w:rPr>
      </w:r>
    </w:p>
    <w:p>
      <w:pPr>
        <w:pStyle w:val="Normal"/>
        <w:rPr>
          <w:rFonts w:ascii="楷体_GB2312" w:hAnsi="楷体_GB2312" w:eastAsia="楷体_GB2312"/>
          <w:b/>
          <w:b/>
          <w:sz w:val="30"/>
          <w:szCs w:val="30"/>
        </w:rPr>
      </w:pPr>
      <w:r>
        <w:rPr>
          <w:rFonts w:ascii="楷体_GB2312" w:hAnsi="楷体_GB2312" w:eastAsia="楷体_GB2312"/>
          <w:b/>
          <w:sz w:val="30"/>
          <w:szCs w:val="30"/>
        </w:rPr>
        <w:t>附件：</w:t>
      </w:r>
      <w:r>
        <w:rPr>
          <w:rFonts w:eastAsia="楷体_GB2312" w:ascii="楷体_GB2312" w:hAnsi="楷体_GB2312"/>
          <w:b/>
          <w:sz w:val="30"/>
          <w:szCs w:val="30"/>
        </w:rPr>
        <w:t>1</w:t>
      </w:r>
      <w:r>
        <w:rPr>
          <w:rFonts w:ascii="楷体_GB2312" w:hAnsi="楷体_GB2312" w:eastAsia="楷体_GB2312"/>
          <w:b/>
          <w:sz w:val="30"/>
          <w:szCs w:val="30"/>
        </w:rPr>
        <w:t>、某省电力公司员工绩效考核参考指标表</w:t>
      </w:r>
    </w:p>
    <w:p>
      <w:pPr>
        <w:pStyle w:val="Normal"/>
        <w:ind w:start="540" w:hanging="0"/>
        <w:rPr/>
      </w:pPr>
      <w:r>
        <w:rPr>
          <w:rFonts w:eastAsia="楷体_GB2312" w:cs="楷体_GB2312" w:ascii="楷体_GB2312" w:hAnsi="楷体_GB2312"/>
          <w:b/>
          <w:sz w:val="30"/>
          <w:szCs w:val="30"/>
        </w:rPr>
        <w:t xml:space="preserve">  </w:t>
      </w:r>
      <w:r>
        <w:rPr>
          <w:rFonts w:eastAsia="楷体_GB2312" w:ascii="楷体_GB2312" w:hAnsi="楷体_GB2312"/>
          <w:b/>
          <w:sz w:val="30"/>
          <w:szCs w:val="30"/>
        </w:rPr>
        <w:t>2</w:t>
      </w:r>
      <w:r>
        <w:rPr>
          <w:rFonts w:ascii="楷体_GB2312" w:hAnsi="楷体_GB2312" w:eastAsia="楷体_GB2312"/>
          <w:b/>
          <w:sz w:val="30"/>
          <w:szCs w:val="30"/>
        </w:rPr>
        <w:t>、某省电力公司部门绩效合约</w:t>
      </w:r>
      <w:r>
        <w:rPr>
          <w:rFonts w:eastAsia="楷体_GB2312" w:ascii="楷体_GB2312" w:hAnsi="楷体_GB2312"/>
          <w:b/>
          <w:sz w:val="30"/>
          <w:szCs w:val="30"/>
        </w:rPr>
        <w:t>(</w:t>
      </w:r>
      <w:r>
        <w:rPr>
          <w:rFonts w:ascii="楷体_GB2312" w:hAnsi="楷体_GB2312" w:eastAsia="楷体_GB2312"/>
          <w:b/>
          <w:sz w:val="30"/>
          <w:szCs w:val="30"/>
        </w:rPr>
        <w:t>样本</w:t>
      </w:r>
      <w:r>
        <w:rPr>
          <w:rFonts w:eastAsia="楷体_GB2312" w:ascii="楷体_GB2312" w:hAnsi="楷体_GB2312"/>
          <w:b/>
          <w:sz w:val="30"/>
          <w:szCs w:val="30"/>
        </w:rPr>
        <w:t>)</w:t>
      </w:r>
    </w:p>
    <w:p>
      <w:pPr>
        <w:pStyle w:val="Normal"/>
        <w:ind w:start="540" w:hanging="0"/>
        <w:rPr/>
      </w:pPr>
      <w:r>
        <w:rPr>
          <w:rFonts w:eastAsia="楷体_GB2312" w:cs="楷体_GB2312" w:ascii="楷体_GB2312" w:hAnsi="楷体_GB2312"/>
          <w:b/>
          <w:sz w:val="30"/>
          <w:szCs w:val="30"/>
        </w:rPr>
        <w:t xml:space="preserve">  </w:t>
      </w:r>
      <w:r>
        <w:rPr>
          <w:rFonts w:eastAsia="楷体_GB2312" w:ascii="楷体_GB2312" w:hAnsi="楷体_GB2312"/>
          <w:b/>
          <w:sz w:val="30"/>
          <w:szCs w:val="30"/>
        </w:rPr>
        <w:t>3</w:t>
      </w:r>
      <w:r>
        <w:rPr>
          <w:rFonts w:ascii="楷体_GB2312" w:hAnsi="楷体_GB2312" w:eastAsia="楷体_GB2312"/>
          <w:b/>
          <w:sz w:val="30"/>
          <w:szCs w:val="30"/>
        </w:rPr>
        <w:t>、某省电力公司部门正职绩效合约</w:t>
      </w:r>
      <w:r>
        <w:rPr>
          <w:rFonts w:eastAsia="楷体_GB2312" w:ascii="楷体_GB2312" w:hAnsi="楷体_GB2312"/>
          <w:b/>
          <w:sz w:val="30"/>
          <w:szCs w:val="30"/>
        </w:rPr>
        <w:t>(</w:t>
      </w:r>
      <w:r>
        <w:rPr>
          <w:rFonts w:ascii="楷体_GB2312" w:hAnsi="楷体_GB2312" w:eastAsia="楷体_GB2312"/>
          <w:b/>
          <w:sz w:val="30"/>
          <w:szCs w:val="30"/>
        </w:rPr>
        <w:t>样本</w:t>
      </w:r>
      <w:r>
        <w:rPr>
          <w:rFonts w:eastAsia="楷体_GB2312" w:ascii="楷体_GB2312" w:hAnsi="楷体_GB2312"/>
          <w:b/>
          <w:sz w:val="30"/>
          <w:szCs w:val="30"/>
        </w:rPr>
        <w:t>)</w:t>
      </w:r>
    </w:p>
    <w:p>
      <w:pPr>
        <w:pStyle w:val="Normal"/>
        <w:ind w:firstLine="904"/>
        <w:rPr>
          <w:rFonts w:ascii="楷体_GB2312" w:hAnsi="楷体_GB2312" w:eastAsia="楷体_GB2312"/>
          <w:b/>
          <w:b/>
          <w:sz w:val="30"/>
          <w:szCs w:val="30"/>
        </w:rPr>
      </w:pPr>
      <w:r>
        <w:rPr>
          <w:rFonts w:eastAsia="楷体_GB2312" w:ascii="楷体_GB2312" w:hAnsi="楷体_GB2312"/>
          <w:b/>
          <w:sz w:val="30"/>
          <w:szCs w:val="30"/>
        </w:rPr>
        <w:t>4</w:t>
      </w:r>
      <w:r>
        <w:rPr>
          <w:rFonts w:ascii="楷体_GB2312" w:hAnsi="楷体_GB2312" w:eastAsia="楷体_GB2312"/>
          <w:b/>
          <w:sz w:val="30"/>
          <w:szCs w:val="30"/>
        </w:rPr>
        <w:t>、某省电力公司部门副职</w:t>
      </w:r>
      <w:r>
        <w:rPr>
          <w:rFonts w:eastAsia="楷体_GB2312" w:ascii="楷体_GB2312" w:hAnsi="楷体_GB2312"/>
          <w:b/>
          <w:sz w:val="30"/>
          <w:szCs w:val="30"/>
        </w:rPr>
        <w:t>(</w:t>
      </w:r>
      <w:r>
        <w:rPr>
          <w:rFonts w:ascii="楷体_GB2312" w:hAnsi="楷体_GB2312" w:eastAsia="楷体_GB2312"/>
          <w:b/>
          <w:sz w:val="30"/>
          <w:szCs w:val="30"/>
        </w:rPr>
        <w:t>员工</w:t>
      </w:r>
      <w:r>
        <w:rPr>
          <w:rFonts w:eastAsia="楷体_GB2312" w:ascii="楷体_GB2312" w:hAnsi="楷体_GB2312"/>
          <w:b/>
          <w:sz w:val="30"/>
          <w:szCs w:val="30"/>
        </w:rPr>
        <w:t>)</w:t>
      </w:r>
      <w:r>
        <w:rPr>
          <w:rFonts w:ascii="楷体_GB2312" w:hAnsi="楷体_GB2312" w:eastAsia="楷体_GB2312"/>
          <w:b/>
          <w:sz w:val="30"/>
          <w:szCs w:val="30"/>
        </w:rPr>
        <w:t>绩效合约</w:t>
      </w:r>
      <w:r>
        <w:rPr>
          <w:rFonts w:eastAsia="楷体_GB2312" w:ascii="楷体_GB2312" w:hAnsi="楷体_GB2312"/>
          <w:b/>
          <w:sz w:val="30"/>
          <w:szCs w:val="30"/>
        </w:rPr>
        <w:t>(</w:t>
      </w:r>
      <w:r>
        <w:rPr>
          <w:rFonts w:ascii="楷体_GB2312" w:hAnsi="楷体_GB2312" w:eastAsia="楷体_GB2312"/>
          <w:b/>
          <w:sz w:val="30"/>
          <w:szCs w:val="30"/>
        </w:rPr>
        <w:t>样本</w:t>
      </w:r>
      <w:r>
        <w:rPr>
          <w:rFonts w:eastAsia="楷体_GB2312" w:ascii="楷体_GB2312" w:hAnsi="楷体_GB2312"/>
          <w:b/>
          <w:sz w:val="30"/>
          <w:szCs w:val="30"/>
        </w:rPr>
        <w:t>)</w:t>
      </w:r>
    </w:p>
    <w:p>
      <w:pPr>
        <w:pStyle w:val="Normal"/>
        <w:rPr>
          <w:rFonts w:ascii="楷体_GB2312" w:hAnsi="楷体_GB2312" w:eastAsia="楷体_GB2312"/>
          <w:b/>
          <w:b/>
          <w:sz w:val="28"/>
          <w:szCs w:val="28"/>
        </w:rPr>
      </w:pPr>
      <w:r>
        <w:rPr>
          <w:rFonts w:eastAsia="楷体_GB2312" w:ascii="楷体_GB2312" w:hAnsi="楷体_GB2312"/>
          <w:b/>
          <w:sz w:val="28"/>
          <w:szCs w:val="28"/>
        </w:rPr>
      </w:r>
      <w:r>
        <w:br w:type="page"/>
      </w:r>
    </w:p>
    <w:p>
      <w:pPr>
        <w:pStyle w:val="Normal"/>
        <w:rPr>
          <w:rFonts w:ascii="楷体_GB2312" w:hAnsi="楷体_GB2312" w:eastAsia="楷体_GB2312"/>
          <w:sz w:val="28"/>
          <w:szCs w:val="28"/>
        </w:rPr>
      </w:pPr>
      <w:r>
        <w:rPr>
          <w:rFonts w:eastAsia="楷体_GB2312" w:ascii="楷体_GB2312" w:hAnsi="楷体_GB2312"/>
          <w:sz w:val="28"/>
          <w:szCs w:val="28"/>
        </w:rPr>
      </w:r>
    </w:p>
    <w:p>
      <w:pPr>
        <w:pStyle w:val="Normal"/>
        <w:rPr>
          <w:rFonts w:ascii="楷体_GB2312" w:hAnsi="楷体_GB2312" w:eastAsia="楷体_GB2312"/>
          <w:sz w:val="28"/>
          <w:szCs w:val="28"/>
        </w:rPr>
      </w:pPr>
      <w:r>
        <w:rPr>
          <w:rFonts w:ascii="楷体_GB2312" w:hAnsi="楷体_GB2312" w:eastAsia="楷体_GB2312"/>
          <w:sz w:val="28"/>
          <w:szCs w:val="28"/>
        </w:rPr>
        <w:t>附件一：</w:t>
      </w:r>
    </w:p>
    <w:p>
      <w:pPr>
        <w:pStyle w:val="Normal"/>
        <w:ind w:start="870" w:firstLine="435"/>
        <w:rPr>
          <w:rFonts w:ascii="楷体_GB2312" w:hAnsi="楷体_GB2312" w:eastAsia="楷体_GB2312"/>
          <w:b/>
          <w:b/>
          <w:sz w:val="30"/>
          <w:szCs w:val="30"/>
        </w:rPr>
      </w:pPr>
      <w:r>
        <w:rPr>
          <w:rFonts w:ascii="楷体_GB2312" w:hAnsi="楷体_GB2312" w:eastAsia="楷体_GB2312"/>
          <w:b/>
          <w:sz w:val="30"/>
          <w:szCs w:val="30"/>
        </w:rPr>
        <w:t>某省电力公司员工绩效考核参考指标表</w:t>
      </w:r>
    </w:p>
    <w:p>
      <w:pPr>
        <w:pStyle w:val="Normal"/>
        <w:ind w:start="869" w:firstLine="854"/>
        <w:rPr>
          <w:rFonts w:ascii="楷体_GB2312" w:hAnsi="楷体_GB2312" w:eastAsia="楷体_GB2312"/>
          <w:sz w:val="28"/>
          <w:szCs w:val="28"/>
        </w:rPr>
      </w:pPr>
      <w:r>
        <w:rPr>
          <w:rFonts w:ascii="楷体_GB2312" w:hAnsi="楷体_GB2312" w:eastAsia="楷体_GB2312"/>
          <w:sz w:val="28"/>
          <w:szCs w:val="28"/>
        </w:rPr>
        <w:t>一、中层管理人员绩效考核共性指标</w:t>
      </w:r>
    </w:p>
    <w:p>
      <w:pPr>
        <w:pStyle w:val="Normal"/>
        <w:rPr>
          <w:rFonts w:ascii="楷体_GB2312" w:hAnsi="楷体_GB2312" w:eastAsia="楷体_GB2312"/>
          <w:sz w:val="28"/>
          <w:szCs w:val="28"/>
        </w:rPr>
      </w:pPr>
      <w:r>
        <w:rPr>
          <w:rFonts w:eastAsia="楷体_GB2312" w:ascii="楷体_GB2312" w:hAnsi="楷体_GB2312"/>
          <w:sz w:val="28"/>
          <w:szCs w:val="28"/>
        </w:rPr>
        <w:drawing>
          <wp:inline distT="0" distB="0" distL="0" distR="0">
            <wp:extent cx="5485130" cy="658241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4" r="-4" b="-4"/>
                    <a:stretch>
                      <a:fillRect/>
                    </a:stretch>
                  </pic:blipFill>
                  <pic:spPr bwMode="auto">
                    <a:xfrm>
                      <a:off x="0" y="0"/>
                      <a:ext cx="5485130" cy="6582410"/>
                    </a:xfrm>
                    <a:prstGeom prst="rect">
                      <a:avLst/>
                    </a:prstGeom>
                  </pic:spPr>
                </pic:pic>
              </a:graphicData>
            </a:graphic>
          </wp:inline>
        </w:drawing>
      </w:r>
    </w:p>
    <w:p>
      <w:pPr>
        <w:pStyle w:val="Normal"/>
        <w:rPr>
          <w:rFonts w:ascii="楷体_GB2312" w:hAnsi="楷体_GB2312" w:eastAsia="楷体_GB2312"/>
          <w:sz w:val="28"/>
          <w:szCs w:val="28"/>
        </w:rPr>
      </w:pPr>
      <w:r>
        <w:rPr>
          <w:rFonts w:eastAsia="楷体_GB2312" w:ascii="楷体_GB2312" w:hAnsi="楷体_GB2312"/>
          <w:sz w:val="28"/>
          <w:szCs w:val="28"/>
        </w:rPr>
      </w:r>
    </w:p>
    <w:p>
      <w:pPr>
        <w:pStyle w:val="Normal"/>
        <w:rPr>
          <w:rFonts w:ascii="楷体_GB2312" w:hAnsi="楷体_GB2312" w:eastAsia="楷体_GB2312"/>
          <w:sz w:val="28"/>
          <w:szCs w:val="28"/>
        </w:rPr>
      </w:pPr>
      <w:r>
        <w:rPr>
          <w:rFonts w:eastAsia="楷体_GB2312" w:ascii="楷体_GB2312" w:hAnsi="楷体_GB2312"/>
          <w:sz w:val="28"/>
          <w:szCs w:val="28"/>
        </w:rPr>
      </w:r>
    </w:p>
    <w:p>
      <w:pPr>
        <w:pStyle w:val="Normal"/>
        <w:ind w:firstLine="560"/>
        <w:rPr>
          <w:rFonts w:ascii="楷体_GB2312" w:hAnsi="楷体_GB2312" w:eastAsia="楷体_GB2312"/>
          <w:sz w:val="28"/>
          <w:szCs w:val="28"/>
        </w:rPr>
      </w:pPr>
      <w:r>
        <w:rPr>
          <w:rFonts w:ascii="楷体_GB2312" w:hAnsi="楷体_GB2312" w:eastAsia="楷体_GB2312"/>
          <w:sz w:val="28"/>
          <w:szCs w:val="28"/>
        </w:rPr>
        <w:t>二、一般管理及专业技术人员绩效考核共性指标</w:t>
      </w:r>
    </w:p>
    <w:p>
      <w:pPr>
        <w:pStyle w:val="Normal"/>
        <w:rPr>
          <w:rFonts w:ascii="楷体_GB2312" w:hAnsi="楷体_GB2312" w:eastAsia="楷体_GB2312"/>
          <w:sz w:val="28"/>
          <w:szCs w:val="28"/>
        </w:rPr>
      </w:pPr>
      <w:r>
        <w:rPr>
          <w:rFonts w:eastAsia="楷体_GB2312" w:ascii="楷体_GB2312" w:hAnsi="楷体_GB2312"/>
          <w:sz w:val="28"/>
          <w:szCs w:val="28"/>
        </w:rPr>
        <w:drawing>
          <wp:inline distT="0" distB="0" distL="0" distR="0">
            <wp:extent cx="5345430" cy="651764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4" t="-4" r="-4" b="-4"/>
                    <a:stretch>
                      <a:fillRect/>
                    </a:stretch>
                  </pic:blipFill>
                  <pic:spPr bwMode="auto">
                    <a:xfrm>
                      <a:off x="0" y="0"/>
                      <a:ext cx="5345430" cy="6517640"/>
                    </a:xfrm>
                    <a:prstGeom prst="rect">
                      <a:avLst/>
                    </a:prstGeom>
                  </pic:spPr>
                </pic:pic>
              </a:graphicData>
            </a:graphic>
          </wp:inline>
        </w:drawing>
      </w:r>
    </w:p>
    <w:p>
      <w:pPr>
        <w:pStyle w:val="Normal"/>
        <w:rPr>
          <w:rFonts w:ascii="楷体_GB2312" w:hAnsi="楷体_GB2312" w:eastAsia="楷体_GB2312"/>
          <w:sz w:val="28"/>
          <w:szCs w:val="28"/>
        </w:rPr>
      </w:pPr>
      <w:r>
        <w:rPr>
          <w:rFonts w:eastAsia="楷体_GB2312" w:ascii="楷体_GB2312" w:hAnsi="楷体_GB2312"/>
          <w:sz w:val="28"/>
          <w:szCs w:val="28"/>
        </w:rPr>
      </w:r>
    </w:p>
    <w:p>
      <w:pPr>
        <w:pStyle w:val="Normal"/>
        <w:rPr>
          <w:rFonts w:ascii="楷体_GB2312" w:hAnsi="楷体_GB2312" w:eastAsia="楷体_GB2312"/>
          <w:sz w:val="28"/>
          <w:szCs w:val="28"/>
        </w:rPr>
      </w:pPr>
      <w:r>
        <w:rPr>
          <w:rFonts w:eastAsia="楷体_GB2312" w:ascii="楷体_GB2312" w:hAnsi="楷体_GB2312"/>
          <w:sz w:val="28"/>
          <w:szCs w:val="28"/>
        </w:rPr>
      </w:r>
    </w:p>
    <w:p>
      <w:pPr>
        <w:pStyle w:val="Normal"/>
        <w:rPr>
          <w:rFonts w:ascii="楷体_GB2312" w:hAnsi="楷体_GB2312" w:eastAsia="楷体_GB2312"/>
          <w:sz w:val="28"/>
          <w:szCs w:val="28"/>
        </w:rPr>
      </w:pPr>
      <w:r>
        <w:rPr>
          <w:rFonts w:eastAsia="楷体_GB2312" w:ascii="楷体_GB2312" w:hAnsi="楷体_GB2312"/>
          <w:sz w:val="28"/>
          <w:szCs w:val="28"/>
        </w:rPr>
      </w:r>
    </w:p>
    <w:p>
      <w:pPr>
        <w:pStyle w:val="Normal"/>
        <w:rPr>
          <w:rFonts w:ascii="楷体_GB2312" w:hAnsi="楷体_GB2312" w:eastAsia="楷体_GB2312"/>
          <w:sz w:val="28"/>
          <w:szCs w:val="28"/>
        </w:rPr>
      </w:pPr>
      <w:r>
        <w:rPr>
          <w:rFonts w:eastAsia="楷体_GB2312" w:ascii="楷体_GB2312" w:hAnsi="楷体_GB2312"/>
          <w:sz w:val="28"/>
          <w:szCs w:val="28"/>
        </w:rPr>
      </w:r>
    </w:p>
    <w:p>
      <w:pPr>
        <w:pStyle w:val="Normal"/>
        <w:rPr>
          <w:rFonts w:ascii="楷体_GB2312" w:hAnsi="楷体_GB2312" w:eastAsia="楷体_GB2312"/>
          <w:sz w:val="28"/>
          <w:szCs w:val="28"/>
        </w:rPr>
      </w:pPr>
      <w:r>
        <w:rPr>
          <w:rFonts w:eastAsia="楷体_GB2312" w:ascii="楷体_GB2312" w:hAnsi="楷体_GB2312"/>
          <w:sz w:val="28"/>
          <w:szCs w:val="28"/>
        </w:rPr>
      </w:r>
    </w:p>
    <w:p>
      <w:pPr>
        <w:pStyle w:val="Normal"/>
        <w:ind w:firstLine="560"/>
        <w:rPr>
          <w:rFonts w:ascii="楷体_GB2312" w:hAnsi="楷体_GB2312" w:eastAsia="楷体_GB2312"/>
          <w:sz w:val="28"/>
          <w:szCs w:val="28"/>
        </w:rPr>
      </w:pPr>
      <w:r>
        <w:rPr>
          <w:rFonts w:ascii="楷体_GB2312" w:hAnsi="楷体_GB2312" w:eastAsia="楷体_GB2312"/>
          <w:sz w:val="28"/>
          <w:szCs w:val="28"/>
        </w:rPr>
        <w:t>三、班站长绩效考核共性指标</w:t>
      </w:r>
    </w:p>
    <w:p>
      <w:pPr>
        <w:pStyle w:val="Normal"/>
        <w:rPr>
          <w:rFonts w:ascii="楷体_GB2312" w:hAnsi="楷体_GB2312" w:eastAsia="楷体_GB2312"/>
          <w:sz w:val="28"/>
          <w:szCs w:val="28"/>
        </w:rPr>
      </w:pPr>
      <w:r>
        <w:rPr>
          <w:rFonts w:eastAsia="楷体_GB2312" w:ascii="楷体_GB2312" w:hAnsi="楷体_GB2312"/>
          <w:sz w:val="28"/>
          <w:szCs w:val="28"/>
        </w:rPr>
        <w:drawing>
          <wp:inline distT="0" distB="0" distL="0" distR="0">
            <wp:extent cx="5410200" cy="6855460"/>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4" t="-4" r="-4" b="-4"/>
                    <a:stretch>
                      <a:fillRect/>
                    </a:stretch>
                  </pic:blipFill>
                  <pic:spPr bwMode="auto">
                    <a:xfrm>
                      <a:off x="0" y="0"/>
                      <a:ext cx="5410200" cy="6855460"/>
                    </a:xfrm>
                    <a:prstGeom prst="rect">
                      <a:avLst/>
                    </a:prstGeom>
                  </pic:spPr>
                </pic:pic>
              </a:graphicData>
            </a:graphic>
          </wp:inline>
        </w:drawing>
      </w:r>
    </w:p>
    <w:p>
      <w:pPr>
        <w:pStyle w:val="Normal"/>
        <w:rPr>
          <w:rFonts w:ascii="楷体_GB2312" w:hAnsi="楷体_GB2312" w:eastAsia="楷体_GB2312"/>
          <w:sz w:val="28"/>
          <w:szCs w:val="28"/>
        </w:rPr>
      </w:pPr>
      <w:r>
        <w:rPr>
          <w:rFonts w:eastAsia="楷体_GB2312" w:ascii="楷体_GB2312" w:hAnsi="楷体_GB2312"/>
          <w:sz w:val="28"/>
          <w:szCs w:val="28"/>
        </w:rPr>
      </w:r>
    </w:p>
    <w:p>
      <w:pPr>
        <w:pStyle w:val="Normal"/>
        <w:rPr>
          <w:rFonts w:ascii="楷体_GB2312" w:hAnsi="楷体_GB2312" w:eastAsia="楷体_GB2312"/>
          <w:sz w:val="28"/>
          <w:szCs w:val="28"/>
        </w:rPr>
      </w:pPr>
      <w:r>
        <w:rPr>
          <w:rFonts w:eastAsia="楷体_GB2312" w:ascii="楷体_GB2312" w:hAnsi="楷体_GB2312"/>
          <w:sz w:val="28"/>
          <w:szCs w:val="28"/>
        </w:rPr>
      </w:r>
    </w:p>
    <w:p>
      <w:pPr>
        <w:pStyle w:val="Normal"/>
        <w:rPr>
          <w:rFonts w:ascii="楷体_GB2312" w:hAnsi="楷体_GB2312" w:eastAsia="楷体_GB2312"/>
          <w:sz w:val="28"/>
          <w:szCs w:val="28"/>
        </w:rPr>
      </w:pPr>
      <w:r>
        <w:rPr>
          <w:rFonts w:eastAsia="楷体_GB2312" w:ascii="楷体_GB2312" w:hAnsi="楷体_GB2312"/>
          <w:sz w:val="28"/>
          <w:szCs w:val="28"/>
        </w:rPr>
      </w:r>
    </w:p>
    <w:p>
      <w:pPr>
        <w:pStyle w:val="Normal"/>
        <w:rPr>
          <w:rFonts w:ascii="楷体_GB2312" w:hAnsi="楷体_GB2312" w:eastAsia="楷体_GB2312"/>
          <w:sz w:val="28"/>
          <w:szCs w:val="28"/>
        </w:rPr>
      </w:pPr>
      <w:r>
        <w:rPr>
          <w:rFonts w:eastAsia="楷体_GB2312" w:ascii="楷体_GB2312" w:hAnsi="楷体_GB2312"/>
          <w:sz w:val="28"/>
          <w:szCs w:val="28"/>
        </w:rPr>
      </w:r>
    </w:p>
    <w:p>
      <w:pPr>
        <w:pStyle w:val="Normal"/>
        <w:ind w:firstLine="560"/>
        <w:rPr>
          <w:rFonts w:ascii="楷体_GB2312" w:hAnsi="楷体_GB2312" w:eastAsia="楷体_GB2312"/>
          <w:sz w:val="28"/>
          <w:szCs w:val="28"/>
        </w:rPr>
      </w:pPr>
      <w:r>
        <w:rPr>
          <w:rFonts w:ascii="楷体_GB2312" w:hAnsi="楷体_GB2312" w:eastAsia="楷体_GB2312"/>
          <w:sz w:val="28"/>
          <w:szCs w:val="28"/>
        </w:rPr>
        <w:t>四、生产技能人员绩效考核共性指标</w:t>
      </w:r>
    </w:p>
    <w:p>
      <w:pPr>
        <w:pStyle w:val="Normal"/>
        <w:rPr>
          <w:rFonts w:ascii="楷体_GB2312" w:hAnsi="楷体_GB2312" w:eastAsia="楷体_GB2312"/>
          <w:sz w:val="28"/>
          <w:szCs w:val="28"/>
        </w:rPr>
      </w:pPr>
      <w:r>
        <w:rPr>
          <w:rFonts w:eastAsia="楷体_GB2312" w:ascii="楷体_GB2312" w:hAnsi="楷体_GB2312"/>
          <w:sz w:val="28"/>
          <w:szCs w:val="28"/>
        </w:rPr>
        <w:drawing>
          <wp:inline distT="0" distB="0" distL="0" distR="0">
            <wp:extent cx="5368290" cy="7065010"/>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rcRect l="-4" t="-4" r="-4" b="-4"/>
                    <a:stretch>
                      <a:fillRect/>
                    </a:stretch>
                  </pic:blipFill>
                  <pic:spPr bwMode="auto">
                    <a:xfrm>
                      <a:off x="0" y="0"/>
                      <a:ext cx="5368290" cy="7065010"/>
                    </a:xfrm>
                    <a:prstGeom prst="rect">
                      <a:avLst/>
                    </a:prstGeom>
                  </pic:spPr>
                </pic:pic>
              </a:graphicData>
            </a:graphic>
          </wp:inline>
        </w:drawing>
      </w:r>
    </w:p>
    <w:p>
      <w:pPr>
        <w:pStyle w:val="Normal"/>
        <w:rPr>
          <w:rFonts w:ascii="楷体_GB2312" w:hAnsi="楷体_GB2312" w:eastAsia="楷体_GB2312"/>
          <w:sz w:val="28"/>
          <w:szCs w:val="28"/>
        </w:rPr>
      </w:pPr>
      <w:r>
        <w:rPr>
          <w:rFonts w:eastAsia="楷体_GB2312" w:ascii="楷体_GB2312" w:hAnsi="楷体_GB2312"/>
          <w:sz w:val="28"/>
          <w:szCs w:val="28"/>
        </w:rPr>
      </w:r>
    </w:p>
    <w:p>
      <w:pPr>
        <w:pStyle w:val="Normal"/>
        <w:rPr>
          <w:rFonts w:ascii="楷体_GB2312" w:hAnsi="楷体_GB2312" w:eastAsia="楷体_GB2312"/>
          <w:sz w:val="28"/>
          <w:szCs w:val="28"/>
        </w:rPr>
      </w:pPr>
      <w:r>
        <w:rPr>
          <w:rFonts w:eastAsia="楷体_GB2312" w:ascii="楷体_GB2312" w:hAnsi="楷体_GB2312"/>
          <w:sz w:val="28"/>
          <w:szCs w:val="28"/>
        </w:rPr>
      </w:r>
    </w:p>
    <w:p>
      <w:pPr>
        <w:pStyle w:val="Normal"/>
        <w:rPr>
          <w:rFonts w:ascii="楷体_GB2312" w:hAnsi="楷体_GB2312" w:eastAsia="楷体_GB2312"/>
          <w:sz w:val="28"/>
          <w:szCs w:val="28"/>
        </w:rPr>
      </w:pPr>
      <w:r>
        <w:rPr>
          <w:rFonts w:eastAsia="楷体_GB2312" w:ascii="楷体_GB2312" w:hAnsi="楷体_GB2312"/>
          <w:sz w:val="28"/>
          <w:szCs w:val="28"/>
        </w:rPr>
      </w:r>
    </w:p>
    <w:p>
      <w:pPr>
        <w:pStyle w:val="Normal"/>
        <w:ind w:start="-359" w:end="-334" w:hanging="0"/>
        <w:rPr>
          <w:rFonts w:ascii="楷体_GB2312" w:hAnsi="楷体_GB2312" w:eastAsia="楷体_GB2312"/>
          <w:sz w:val="28"/>
          <w:szCs w:val="28"/>
        </w:rPr>
      </w:pPr>
      <w:r>
        <w:rPr>
          <w:rFonts w:eastAsia="楷体_GB2312" w:ascii="楷体_GB2312" w:hAnsi="楷体_GB2312"/>
          <w:sz w:val="28"/>
          <w:szCs w:val="28"/>
        </w:rPr>
        <w:drawing>
          <wp:inline distT="0" distB="0" distL="0" distR="0">
            <wp:extent cx="5828030" cy="7981950"/>
            <wp:effectExtent l="0" t="0" r="0" b="0"/>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6"/>
                    <a:srcRect l="-4" t="-3" r="-4" b="-3"/>
                    <a:stretch>
                      <a:fillRect/>
                    </a:stretch>
                  </pic:blipFill>
                  <pic:spPr bwMode="auto">
                    <a:xfrm>
                      <a:off x="0" y="0"/>
                      <a:ext cx="5828030" cy="7981950"/>
                    </a:xfrm>
                    <a:prstGeom prst="rect">
                      <a:avLst/>
                    </a:prstGeom>
                  </pic:spPr>
                </pic:pic>
              </a:graphicData>
            </a:graphic>
          </wp:inline>
        </w:drawing>
      </w:r>
    </w:p>
    <w:p>
      <w:pPr>
        <w:pStyle w:val="Normal"/>
        <w:rPr>
          <w:rFonts w:ascii="楷体_GB2312" w:hAnsi="楷体_GB2312" w:eastAsia="楷体_GB2312"/>
          <w:sz w:val="28"/>
          <w:szCs w:val="28"/>
        </w:rPr>
      </w:pPr>
      <w:r>
        <w:rPr>
          <w:rFonts w:eastAsia="楷体_GB2312" w:ascii="楷体_GB2312" w:hAnsi="楷体_GB2312"/>
          <w:sz w:val="28"/>
          <w:szCs w:val="28"/>
        </w:rPr>
      </w:r>
    </w:p>
    <w:p>
      <w:pPr>
        <w:pStyle w:val="Normal"/>
        <w:rPr>
          <w:rFonts w:ascii="楷体_GB2312" w:hAnsi="楷体_GB2312" w:eastAsia="楷体_GB2312"/>
          <w:sz w:val="28"/>
          <w:szCs w:val="28"/>
        </w:rPr>
      </w:pPr>
      <w:r>
        <w:rPr>
          <w:rFonts w:eastAsia="楷体_GB2312" w:ascii="楷体_GB2312" w:hAnsi="楷体_GB2312"/>
          <w:sz w:val="28"/>
          <w:szCs w:val="28"/>
        </w:rPr>
      </w:r>
    </w:p>
    <w:p>
      <w:pPr>
        <w:pStyle w:val="Normal"/>
        <w:rPr>
          <w:rFonts w:ascii="楷体_GB2312" w:hAnsi="楷体_GB2312" w:eastAsia="楷体_GB2312"/>
          <w:sz w:val="28"/>
          <w:szCs w:val="28"/>
        </w:rPr>
      </w:pPr>
      <w:r>
        <w:rPr>
          <w:rFonts w:eastAsia="楷体_GB2312" w:ascii="楷体_GB2312" w:hAnsi="楷体_GB2312"/>
          <w:sz w:val="28"/>
          <w:szCs w:val="28"/>
        </w:rPr>
        <w:drawing>
          <wp:inline distT="0" distB="0" distL="0" distR="0">
            <wp:extent cx="5487670" cy="7827645"/>
            <wp:effectExtent l="0" t="0" r="0" b="0"/>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7"/>
                    <a:srcRect l="-4" t="-3" r="-4" b="-3"/>
                    <a:stretch>
                      <a:fillRect/>
                    </a:stretch>
                  </pic:blipFill>
                  <pic:spPr bwMode="auto">
                    <a:xfrm>
                      <a:off x="0" y="0"/>
                      <a:ext cx="5487670" cy="7827645"/>
                    </a:xfrm>
                    <a:prstGeom prst="rect">
                      <a:avLst/>
                    </a:prstGeom>
                  </pic:spPr>
                </pic:pic>
              </a:graphicData>
            </a:graphic>
          </wp:inline>
        </w:drawing>
      </w:r>
    </w:p>
    <w:p>
      <w:pPr>
        <w:pStyle w:val="Normal"/>
        <w:rPr>
          <w:rFonts w:ascii="楷体_GB2312" w:hAnsi="楷体_GB2312" w:eastAsia="楷体_GB2312"/>
          <w:sz w:val="28"/>
          <w:szCs w:val="28"/>
        </w:rPr>
      </w:pPr>
      <w:r>
        <w:rPr>
          <w:rFonts w:eastAsia="楷体_GB2312" w:ascii="楷体_GB2312" w:hAnsi="楷体_GB2312"/>
          <w:sz w:val="28"/>
          <w:szCs w:val="28"/>
        </w:rPr>
      </w:r>
    </w:p>
    <w:p>
      <w:pPr>
        <w:pStyle w:val="Normal"/>
        <w:rPr>
          <w:rFonts w:ascii="楷体_GB2312" w:hAnsi="楷体_GB2312" w:eastAsia="楷体_GB2312"/>
          <w:sz w:val="28"/>
          <w:szCs w:val="28"/>
        </w:rPr>
      </w:pPr>
      <w:r>
        <w:rPr>
          <w:rFonts w:eastAsia="楷体_GB2312" w:ascii="楷体_GB2312" w:hAnsi="楷体_GB2312"/>
          <w:sz w:val="28"/>
          <w:szCs w:val="28"/>
        </w:rPr>
      </w:r>
    </w:p>
    <w:p>
      <w:pPr>
        <w:pStyle w:val="Normal"/>
        <w:rPr>
          <w:rFonts w:ascii="楷体_GB2312" w:hAnsi="楷体_GB2312" w:eastAsia="楷体_GB2312"/>
          <w:sz w:val="28"/>
          <w:szCs w:val="28"/>
        </w:rPr>
      </w:pPr>
      <w:r>
        <w:rPr>
          <w:rFonts w:eastAsia="楷体_GB2312" w:ascii="楷体_GB2312" w:hAnsi="楷体_GB2312"/>
          <w:sz w:val="28"/>
          <w:szCs w:val="28"/>
        </w:rPr>
        <w:drawing>
          <wp:inline distT="0" distB="0" distL="0" distR="0">
            <wp:extent cx="5602605" cy="7972425"/>
            <wp:effectExtent l="0" t="0" r="0" b="0"/>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8"/>
                    <a:srcRect l="-4" t="-2" r="-4" b="-2"/>
                    <a:stretch>
                      <a:fillRect/>
                    </a:stretch>
                  </pic:blipFill>
                  <pic:spPr bwMode="auto">
                    <a:xfrm>
                      <a:off x="0" y="0"/>
                      <a:ext cx="5602605" cy="7972425"/>
                    </a:xfrm>
                    <a:prstGeom prst="rect">
                      <a:avLst/>
                    </a:prstGeom>
                  </pic:spPr>
                </pic:pic>
              </a:graphicData>
            </a:graphic>
          </wp:inline>
        </w:drawing>
      </w:r>
    </w:p>
    <w:p>
      <w:pPr>
        <w:pStyle w:val="Normal"/>
        <w:rPr>
          <w:rFonts w:ascii="楷体_GB2312" w:hAnsi="楷体_GB2312" w:eastAsia="楷体_GB2312"/>
          <w:sz w:val="28"/>
          <w:szCs w:val="28"/>
        </w:rPr>
      </w:pPr>
      <w:r>
        <w:rPr>
          <w:rFonts w:eastAsia="楷体_GB2312" w:ascii="楷体_GB2312" w:hAnsi="楷体_GB2312"/>
          <w:sz w:val="28"/>
          <w:szCs w:val="28"/>
        </w:rPr>
      </w:r>
    </w:p>
    <w:p>
      <w:pPr>
        <w:pStyle w:val="Normal"/>
        <w:rPr>
          <w:rFonts w:ascii="楷体_GB2312" w:hAnsi="楷体_GB2312" w:eastAsia="楷体_GB2312"/>
          <w:sz w:val="28"/>
          <w:szCs w:val="28"/>
        </w:rPr>
      </w:pPr>
      <w:r>
        <w:rPr>
          <w:rFonts w:eastAsia="楷体_GB2312" w:ascii="楷体_GB2312" w:hAnsi="楷体_GB2312"/>
          <w:sz w:val="28"/>
          <w:szCs w:val="28"/>
        </w:rPr>
      </w:r>
    </w:p>
    <w:p>
      <w:pPr>
        <w:pStyle w:val="Normal"/>
        <w:rPr>
          <w:rFonts w:ascii="楷体_GB2312" w:hAnsi="楷体_GB2312" w:eastAsia="楷体_GB2312"/>
          <w:sz w:val="28"/>
          <w:szCs w:val="28"/>
        </w:rPr>
      </w:pPr>
      <w:r>
        <w:rPr>
          <w:rFonts w:eastAsia="楷体_GB2312" w:ascii="楷体_GB2312" w:hAnsi="楷体_GB2312"/>
          <w:sz w:val="28"/>
          <w:szCs w:val="28"/>
        </w:rPr>
        <w:drawing>
          <wp:inline distT="0" distB="0" distL="0" distR="0">
            <wp:extent cx="5486400" cy="7673340"/>
            <wp:effectExtent l="0" t="0" r="0" b="0"/>
            <wp:docPr id="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title=""/>
                    <pic:cNvPicPr>
                      <a:picLocks noChangeAspect="1" noChangeArrowheads="1"/>
                    </pic:cNvPicPr>
                  </pic:nvPicPr>
                  <pic:blipFill>
                    <a:blip r:embed="rId9"/>
                    <a:srcRect l="-4" t="-3" r="-4" b="-3"/>
                    <a:stretch>
                      <a:fillRect/>
                    </a:stretch>
                  </pic:blipFill>
                  <pic:spPr bwMode="auto">
                    <a:xfrm>
                      <a:off x="0" y="0"/>
                      <a:ext cx="5486400" cy="7673340"/>
                    </a:xfrm>
                    <a:prstGeom prst="rect">
                      <a:avLst/>
                    </a:prstGeom>
                  </pic:spPr>
                </pic:pic>
              </a:graphicData>
            </a:graphic>
          </wp:inline>
        </w:drawing>
      </w:r>
    </w:p>
    <w:p>
      <w:pPr>
        <w:pStyle w:val="Normal"/>
        <w:rPr>
          <w:rFonts w:ascii="楷体_GB2312" w:hAnsi="楷体_GB2312" w:eastAsia="楷体_GB2312"/>
          <w:sz w:val="28"/>
          <w:szCs w:val="28"/>
        </w:rPr>
      </w:pPr>
      <w:r>
        <w:rPr>
          <w:rFonts w:eastAsia="楷体_GB2312" w:ascii="楷体_GB2312" w:hAnsi="楷体_GB2312"/>
          <w:sz w:val="28"/>
          <w:szCs w:val="28"/>
        </w:rPr>
      </w:r>
    </w:p>
    <w:p>
      <w:pPr>
        <w:pStyle w:val="Normal"/>
        <w:rPr>
          <w:rFonts w:ascii="楷体_GB2312" w:hAnsi="楷体_GB2312" w:eastAsia="楷体_GB2312"/>
          <w:sz w:val="28"/>
          <w:szCs w:val="28"/>
        </w:rPr>
      </w:pPr>
      <w:r>
        <w:rPr>
          <w:rFonts w:eastAsia="楷体_GB2312" w:ascii="楷体_GB2312" w:hAnsi="楷体_GB2312"/>
          <w:sz w:val="28"/>
          <w:szCs w:val="28"/>
        </w:rPr>
      </w:r>
    </w:p>
    <w:p>
      <w:pPr>
        <w:pStyle w:val="Normal"/>
        <w:rPr>
          <w:rFonts w:ascii="楷体_GB2312" w:hAnsi="楷体_GB2312" w:eastAsia="楷体_GB2312"/>
          <w:sz w:val="28"/>
          <w:szCs w:val="28"/>
        </w:rPr>
      </w:pPr>
      <w:r>
        <w:rPr>
          <w:rFonts w:eastAsia="楷体_GB2312" w:ascii="楷体_GB2312" w:hAnsi="楷体_GB2312"/>
          <w:sz w:val="28"/>
          <w:szCs w:val="28"/>
        </w:rPr>
      </w:r>
    </w:p>
    <w:p>
      <w:pPr>
        <w:pStyle w:val="Normal"/>
        <w:rPr>
          <w:rFonts w:ascii="楷体_GB2312" w:hAnsi="楷体_GB2312" w:eastAsia="楷体_GB2312"/>
          <w:sz w:val="28"/>
          <w:szCs w:val="28"/>
        </w:rPr>
      </w:pPr>
      <w:r>
        <w:rPr>
          <w:rFonts w:eastAsia="楷体_GB2312" w:ascii="楷体_GB2312" w:hAnsi="楷体_GB2312"/>
          <w:sz w:val="28"/>
          <w:szCs w:val="28"/>
        </w:rPr>
        <w:drawing>
          <wp:inline distT="0" distB="0" distL="0" distR="0">
            <wp:extent cx="5596890" cy="8147050"/>
            <wp:effectExtent l="0" t="0" r="0" b="0"/>
            <wp:docPr id="9"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title=""/>
                    <pic:cNvPicPr>
                      <a:picLocks noChangeAspect="1" noChangeArrowheads="1"/>
                    </pic:cNvPicPr>
                  </pic:nvPicPr>
                  <pic:blipFill>
                    <a:blip r:embed="rId10"/>
                    <a:srcRect l="-4" t="-3" r="-4" b="-3"/>
                    <a:stretch>
                      <a:fillRect/>
                    </a:stretch>
                  </pic:blipFill>
                  <pic:spPr bwMode="auto">
                    <a:xfrm>
                      <a:off x="0" y="0"/>
                      <a:ext cx="5596890" cy="8147050"/>
                    </a:xfrm>
                    <a:prstGeom prst="rect">
                      <a:avLst/>
                    </a:prstGeom>
                  </pic:spPr>
                </pic:pic>
              </a:graphicData>
            </a:graphic>
          </wp:inline>
        </w:drawing>
      </w:r>
    </w:p>
    <w:p>
      <w:pPr>
        <w:pStyle w:val="Normal"/>
        <w:rPr>
          <w:rFonts w:ascii="楷体_GB2312" w:hAnsi="楷体_GB2312" w:eastAsia="楷体_GB2312"/>
          <w:sz w:val="28"/>
          <w:szCs w:val="28"/>
        </w:rPr>
      </w:pPr>
      <w:r>
        <w:rPr>
          <w:rFonts w:eastAsia="楷体_GB2312" w:ascii="楷体_GB2312" w:hAnsi="楷体_GB2312"/>
          <w:sz w:val="28"/>
          <w:szCs w:val="28"/>
        </w:rPr>
      </w:r>
    </w:p>
    <w:p>
      <w:pPr>
        <w:pStyle w:val="Normal"/>
        <w:rPr>
          <w:rFonts w:ascii="楷体_GB2312" w:hAnsi="楷体_GB2312" w:eastAsia="楷体_GB2312"/>
          <w:sz w:val="28"/>
          <w:szCs w:val="28"/>
        </w:rPr>
      </w:pPr>
      <w:r>
        <w:rPr>
          <w:rFonts w:eastAsia="楷体_GB2312" w:ascii="楷体_GB2312" w:hAnsi="楷体_GB2312"/>
          <w:sz w:val="28"/>
          <w:szCs w:val="28"/>
        </w:rPr>
        <w:drawing>
          <wp:inline distT="0" distB="0" distL="0" distR="0">
            <wp:extent cx="5612130" cy="7989570"/>
            <wp:effectExtent l="0" t="0" r="0" b="0"/>
            <wp:docPr id="10"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title=""/>
                    <pic:cNvPicPr>
                      <a:picLocks noChangeAspect="1" noChangeArrowheads="1"/>
                    </pic:cNvPicPr>
                  </pic:nvPicPr>
                  <pic:blipFill>
                    <a:blip r:embed="rId11"/>
                    <a:srcRect l="-4" t="-3" r="-4" b="-3"/>
                    <a:stretch>
                      <a:fillRect/>
                    </a:stretch>
                  </pic:blipFill>
                  <pic:spPr bwMode="auto">
                    <a:xfrm>
                      <a:off x="0" y="0"/>
                      <a:ext cx="5612130" cy="7989570"/>
                    </a:xfrm>
                    <a:prstGeom prst="rect">
                      <a:avLst/>
                    </a:prstGeom>
                  </pic:spPr>
                </pic:pic>
              </a:graphicData>
            </a:graphic>
          </wp:inline>
        </w:drawing>
      </w:r>
    </w:p>
    <w:p>
      <w:pPr>
        <w:pStyle w:val="Normal"/>
        <w:rPr>
          <w:rFonts w:ascii="楷体_GB2312" w:hAnsi="楷体_GB2312" w:eastAsia="楷体_GB2312"/>
          <w:sz w:val="28"/>
          <w:szCs w:val="28"/>
        </w:rPr>
      </w:pPr>
      <w:r>
        <w:rPr>
          <w:rFonts w:eastAsia="楷体_GB2312" w:ascii="楷体_GB2312" w:hAnsi="楷体_GB2312"/>
          <w:sz w:val="28"/>
          <w:szCs w:val="28"/>
        </w:rPr>
      </w:r>
    </w:p>
    <w:p>
      <w:pPr>
        <w:pStyle w:val="Normal"/>
        <w:rPr>
          <w:rFonts w:ascii="楷体_GB2312" w:hAnsi="楷体_GB2312" w:eastAsia="楷体_GB2312"/>
          <w:sz w:val="28"/>
          <w:szCs w:val="28"/>
        </w:rPr>
      </w:pPr>
      <w:r>
        <w:rPr>
          <w:rFonts w:eastAsia="楷体_GB2312" w:ascii="楷体_GB2312" w:hAnsi="楷体_GB2312"/>
          <w:sz w:val="28"/>
          <w:szCs w:val="28"/>
        </w:rPr>
      </w:r>
    </w:p>
    <w:p>
      <w:pPr>
        <w:pStyle w:val="Normal"/>
        <w:rPr>
          <w:rFonts w:ascii="楷体_GB2312" w:hAnsi="楷体_GB2312" w:eastAsia="楷体_GB2312"/>
          <w:sz w:val="28"/>
          <w:szCs w:val="28"/>
        </w:rPr>
      </w:pPr>
      <w:r>
        <w:rPr>
          <w:rFonts w:eastAsia="楷体_GB2312" w:ascii="楷体_GB2312" w:hAnsi="楷体_GB2312"/>
          <w:sz w:val="28"/>
          <w:szCs w:val="28"/>
        </w:rPr>
        <w:drawing>
          <wp:inline distT="0" distB="0" distL="0" distR="0">
            <wp:extent cx="5367655" cy="7784465"/>
            <wp:effectExtent l="0" t="0" r="0" b="0"/>
            <wp:docPr id="11"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title=""/>
                    <pic:cNvPicPr>
                      <a:picLocks noChangeAspect="1" noChangeArrowheads="1"/>
                    </pic:cNvPicPr>
                  </pic:nvPicPr>
                  <pic:blipFill>
                    <a:blip r:embed="rId12"/>
                    <a:srcRect l="-4" t="-3" r="-4" b="-3"/>
                    <a:stretch>
                      <a:fillRect/>
                    </a:stretch>
                  </pic:blipFill>
                  <pic:spPr bwMode="auto">
                    <a:xfrm>
                      <a:off x="0" y="0"/>
                      <a:ext cx="5367655" cy="7784465"/>
                    </a:xfrm>
                    <a:prstGeom prst="rect">
                      <a:avLst/>
                    </a:prstGeom>
                  </pic:spPr>
                </pic:pic>
              </a:graphicData>
            </a:graphic>
          </wp:inline>
        </w:drawing>
      </w:r>
    </w:p>
    <w:p>
      <w:pPr>
        <w:pStyle w:val="Normal"/>
        <w:rPr>
          <w:rFonts w:ascii="楷体_GB2312" w:hAnsi="楷体_GB2312" w:eastAsia="楷体_GB2312"/>
          <w:sz w:val="28"/>
          <w:szCs w:val="28"/>
        </w:rPr>
      </w:pPr>
      <w:r>
        <w:rPr>
          <w:rFonts w:eastAsia="楷体_GB2312" w:ascii="楷体_GB2312" w:hAnsi="楷体_GB2312"/>
          <w:sz w:val="28"/>
          <w:szCs w:val="28"/>
        </w:rPr>
      </w:r>
    </w:p>
    <w:sectPr>
      <w:footerReference w:type="default" r:id="rId13"/>
      <w:type w:val="nextPage"/>
      <w:pgSz w:w="11906" w:h="16838"/>
      <w:pgMar w:left="1800" w:right="1800" w:header="0"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楷体_GB2312">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38">
              <wp:simplePos x="0" y="0"/>
              <wp:positionH relativeFrom="margin">
                <wp:align>center</wp:align>
              </wp:positionH>
              <wp:positionV relativeFrom="paragraph">
                <wp:posOffset>635</wp:posOffset>
              </wp:positionV>
              <wp:extent cx="114935" cy="126365"/>
              <wp:effectExtent l="0" t="0" r="0" b="0"/>
              <wp:wrapSquare wrapText="largest"/>
              <wp:docPr id="12" name="Frame1"/>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26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20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26</w:t>
                    </w:r>
                    <w:r>
                      <w:rPr>
                        <w:rStyle w:val="PageNumber"/>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chineseCountingThousand"/>
      <w:lvlText w:val="(%1)"/>
      <w:lvlJc w:val="start"/>
      <w:pPr>
        <w:tabs>
          <w:tab w:val="num" w:pos="1230"/>
        </w:tabs>
        <w:ind w:start="123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Style14">
    <w:name w:val="默认段落字体"/>
    <w:qFormat/>
    <w:rPr/>
  </w:style>
  <w:style w:type="character" w:styleId="PageNumber">
    <w:name w:val="Page Number"/>
    <w:basedOn w:val="Style14"/>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FrameContents">
    <w:name w:val="Frame Contents"/>
    <w:basedOn w:val="Normal"/>
    <w:qFormat/>
    <w:pPr/>
    <w:rPr/>
  </w:style>
  <w:style w:type="numbering" w:styleId="WW8Num1">
    <w:name w:val="WW8Num1"/>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footer" Target="footer1.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66</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2008-08-23T17:32:00Z</dcterms:created>
  <dc:creator>微软中国</dc:creator>
  <dc:description/>
  <cp:keywords> </cp:keywords>
  <dc:language>en-US</dc:language>
  <cp:lastModifiedBy>hp</cp:lastModifiedBy>
  <dcterms:modified xsi:type="dcterms:W3CDTF">2008-09-19T11:42:00Z</dcterms:modified>
  <cp:revision>12</cp:revision>
  <dc:subject/>
  <dc:title/>
</cp:coreProperties>
</file>