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楷体;汉仪楷体KW"/>
          <w:color w:val="000000"/>
          <w:sz w:val="24"/>
          <w:szCs w:val="32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</w:rPr>
        <w:t>公司高层人员绩效评估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报告评估目的：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期限：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姓名：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员工编号：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加入日期：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目前的薪水：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目前的职位：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委任日期：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部门：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____________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一、工作表现 （在适当的数字上划圈）</w:t>
      </w:r>
    </w:p>
    <w:p>
      <w:pPr>
        <w:pStyle w:val="Normal"/>
        <w:spacing w:lineRule="auto" w:line="360"/>
        <w:ind w:firstLine="540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劣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优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工作量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工作品质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工作计划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4.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组织能力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5.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解决问题的能力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6.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决策能力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7.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沟通能力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8.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监督与控制能力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9.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工作程序的改进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10.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人际关系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二、工作态度与责任感 （在适当的数字上划圈）劣优</w:t>
      </w:r>
    </w:p>
    <w:p>
      <w:pPr>
        <w:pStyle w:val="Normal"/>
        <w:spacing w:lineRule="auto" w:line="360"/>
        <w:ind w:firstLine="540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劣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优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工作态度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愿意接受新观念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应付压力的能力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4.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团队与合作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5.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上进心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6.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忠心与认真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7.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尊重上司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总结                                          分数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%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表现因素：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____________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New Gulim;苹方-简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态度因素：</w:t>
      </w:r>
      <w:r>
        <w:rPr>
          <w:rFonts w:ascii="楷体;汉仪楷体KW" w:hAnsi="楷体;汉仪楷体KW" w:cs="New Gulim;苹方-简" w:eastAsia="楷体;汉仪楷体KW"/>
          <w:color w:val="000000"/>
          <w:sz w:val="24"/>
        </w:rPr>
        <w:t xml:space="preserve">                                </w:t>
      </w:r>
      <w:r>
        <w:rPr>
          <w:rFonts w:eastAsia="楷体;汉仪楷体KW" w:cs="New Gulim;苹方-简" w:ascii="楷体;汉仪楷体KW" w:hAnsi="楷体;汉仪楷体KW"/>
          <w:color w:val="000000"/>
          <w:sz w:val="24"/>
        </w:rPr>
        <w:t>____________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总分：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 xml:space="preserve">                                      </w:t>
      </w:r>
      <w:r>
        <w:rPr>
          <w:rFonts w:eastAsia="楷体;汉仪楷体KW" w:cs="宋体;汉仪书宋二KW" w:ascii="楷体;汉仪楷体KW" w:hAnsi="楷体;汉仪楷体KW"/>
          <w:color w:val="000000"/>
          <w:sz w:val="24"/>
        </w:rPr>
        <w:t>____________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三、总体评定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优点与弱点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优点：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弱点：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局限因素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总表现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杰出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85%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以上□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普通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50%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～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64%□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优良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75%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～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84%□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中下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40%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～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49%□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好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65%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～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74%□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      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差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39%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以下□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四、推荐 （请在适当的数字上划圈）</w:t>
      </w:r>
    </w:p>
    <w:p>
      <w:pPr>
        <w:pStyle w:val="Normal"/>
        <w:spacing w:lineRule="auto" w:line="360"/>
        <w:ind w:firstLine="552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劣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优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升    级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有升级的潜能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1   2   3   4   5   6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任    用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1   2   3   4   5   6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4.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特别加薪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1   2   3   4   5   6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5.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年终加薪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1   2   3   4   5   6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6.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次等加薪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1   2   3   4   5   6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7.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调    职                           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1   2   3   4   5   6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8.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培训项目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     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 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 xml:space="preserve">   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1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2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3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4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>5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</w:t>
      </w: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6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五、意见与评语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有关的意见或建议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日 期：          评估者姓名：          职 位：          签 名：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上司评语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日 期：          评估者的上司：        职 位：          签 名：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鉴定者评语</w:t>
      </w:r>
    </w:p>
    <w:p>
      <w:pPr>
        <w:pStyle w:val="Normal"/>
        <w:spacing w:lineRule="auto" w:line="360"/>
        <w:ind w:firstLine="480"/>
        <w:rPr/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日 期：          复查者姓名：          职 位：          签 名</w:t>
      </w:r>
      <w:r>
        <w:rPr>
          <w:rFonts w:ascii="楷体;汉仪楷体KW" w:hAnsi="楷体;汉仪楷体KW" w:cs="楷体;汉仪楷体KW" w:eastAsia="楷体;汉仪楷体KW"/>
          <w:color w:val="000000"/>
          <w:sz w:val="24"/>
          <w:szCs w:val="21"/>
        </w:rPr>
        <w:t>：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楷体">
    <w:altName w:val="汉仪楷体K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汉仪中黑KW" w:cs="Arial"/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2Char">
    <w:name w:val="标题 2 Char"/>
    <w:basedOn w:val="Style13"/>
    <w:qFormat/>
    <w:rPr>
      <w:rFonts w:ascii="Arial" w:hAnsi="Arial" w:eastAsia="黑体;汉仪中黑KW" w:cs="Arial"/>
      <w:b/>
      <w:bCs/>
      <w:kern w:val="2"/>
      <w:sz w:val="32"/>
      <w:szCs w:val="32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2019-04-10T16:59:00Z</dcterms:created>
  <dc:creator>Data</dc:creator>
  <dc:description/>
  <dc:language>en-US</dc:language>
  <cp:lastModifiedBy>dae</cp:lastModifiedBy>
  <dcterms:modified xsi:type="dcterms:W3CDTF">2022-03-03T05:52:35Z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