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hd w:fill="EBF3FE" w:val="clear"/>
        <w:jc w:val="start"/>
        <w:rPr>
          <w:rFonts w:ascii="ˎ̥;Times New Roman" w:hAnsi="ˎ̥;Times New Roman" w:cs="宋体;SimSun"/>
          <w:color w:val="000000"/>
          <w:kern w:val="0"/>
          <w:sz w:val="18"/>
          <w:szCs w:val="18"/>
        </w:rPr>
      </w:pPr>
      <w:r>
        <w:rPr>
          <w:rFonts w:ascii="ˎ̥;Times New Roman" w:hAnsi="ˎ̥;Times New Roman" w:cs="宋体;SimSun"/>
          <w:b/>
          <w:bCs/>
          <w:color w:val="000000"/>
          <w:kern w:val="0"/>
          <w:sz w:val="18"/>
        </w:rPr>
        <w:t>关于内审部门的</w:t>
      </w:r>
      <w:r>
        <w:rPr>
          <w:rFonts w:cs="宋体;SimSun" w:ascii="ˎ̥;Times New Roman" w:hAnsi="ˎ̥;Times New Roman"/>
          <w:b/>
          <w:bCs/>
          <w:color w:val="000000"/>
          <w:kern w:val="0"/>
          <w:sz w:val="18"/>
        </w:rPr>
        <w:t>KPI</w:t>
      </w:r>
      <w:r>
        <w:rPr>
          <w:rFonts w:ascii="ˎ̥;Times New Roman" w:hAnsi="ˎ̥;Times New Roman" w:cs="宋体;SimSun"/>
          <w:b/>
          <w:bCs/>
          <w:color w:val="000000"/>
          <w:kern w:val="0"/>
          <w:sz w:val="18"/>
        </w:rPr>
        <w:t>绩效考核设计</w:t>
      </w:r>
      <w:r>
        <w:rPr>
          <w:rFonts w:cs="宋体;SimSun" w:ascii="ˎ̥;Times New Roman" w:hAnsi="ˎ̥;Times New Roman"/>
          <w:b/>
          <w:bCs/>
          <w:color w:val="FF0000"/>
          <w:kern w:val="0"/>
          <w:sz w:val="18"/>
        </w:rPr>
        <w:t>[</w:t>
      </w:r>
      <w:r>
        <w:rPr>
          <w:rFonts w:ascii="ˎ̥;Times New Roman" w:hAnsi="ˎ̥;Times New Roman" w:cs="宋体;SimSun"/>
          <w:b/>
          <w:bCs/>
          <w:color w:val="FF0000"/>
          <w:kern w:val="0"/>
          <w:sz w:val="18"/>
        </w:rPr>
        <w:t>精华帖</w:t>
      </w:r>
      <w:r>
        <w:rPr>
          <w:rFonts w:cs="宋体;SimSun" w:ascii="ˎ̥;Times New Roman" w:hAnsi="ˎ̥;Times New Roman"/>
          <w:b/>
          <w:bCs/>
          <w:color w:val="FF0000"/>
          <w:kern w:val="0"/>
          <w:sz w:val="18"/>
        </w:rPr>
        <w:t>]</w:t>
      </w:r>
    </w:p>
    <w:p>
      <w:pPr>
        <w:pStyle w:val="Normal"/>
        <w:widowControl/>
        <w:jc w:val="start"/>
        <w:rPr>
          <w:rFonts w:ascii="ˎ̥;Times New Roman" w:hAnsi="ˎ̥;Times New Roman" w:cs="宋体;SimSun"/>
          <w:color w:val="000000"/>
          <w:kern w:val="0"/>
          <w:sz w:val="18"/>
          <w:szCs w:val="18"/>
        </w:rPr>
      </w:pPr>
      <w:r>
        <w:rPr>
          <w:rFonts w:ascii="ˎ̥;Times New Roman" w:hAnsi="ˎ̥;Times New Roman" w:cs="宋体;SimSun"/>
          <w:color w:val="000000"/>
          <w:kern w:val="0"/>
          <w:sz w:val="18"/>
        </w:rPr>
        <w:t>我认为内部审计绩效考核指标设计，可从以下几个角度考虑：</w:t>
      </w:r>
      <w:r>
        <w:rPr>
          <w:rFonts w:cs="宋体;SimSun" w:ascii="ˎ̥;Times New Roman" w:hAnsi="ˎ̥;Times New Roman"/>
          <w:color w:val="000000"/>
          <w:kern w:val="0"/>
          <w:sz w:val="18"/>
          <w:szCs w:val="18"/>
          <w:shd w:fill="F4F4F4" w:val="clear"/>
        </w:rPr>
        <w:br/>
        <w:br/>
      </w:r>
      <w:r>
        <w:rPr>
          <w:rFonts w:cs="宋体;SimSun" w:ascii="ˎ̥;Times New Roman" w:hAnsi="ˎ̥;Times New Roman"/>
          <w:color w:val="000000"/>
          <w:kern w:val="0"/>
          <w:sz w:val="18"/>
        </w:rPr>
        <w:t xml:space="preserve">       1</w:t>
      </w:r>
      <w:r>
        <w:rPr>
          <w:rFonts w:ascii="ˎ̥;Times New Roman" w:hAnsi="ˎ̥;Times New Roman" w:cs="宋体;SimSun"/>
          <w:color w:val="000000"/>
          <w:kern w:val="0"/>
          <w:sz w:val="18"/>
        </w:rPr>
        <w:t>、数量     完成审计的数量和建议数量</w:t>
      </w:r>
      <w:r>
        <w:rPr>
          <w:rFonts w:cs="宋体;SimSun" w:ascii="ˎ̥;Times New Roman" w:hAnsi="ˎ̥;Times New Roman"/>
          <w:color w:val="000000"/>
          <w:kern w:val="0"/>
          <w:sz w:val="18"/>
          <w:szCs w:val="18"/>
          <w:shd w:fill="F4F4F4" w:val="clear"/>
        </w:rPr>
        <w:br/>
        <w:br/>
      </w:r>
      <w:r>
        <w:rPr>
          <w:rFonts w:cs="宋体;SimSun" w:ascii="ˎ̥;Times New Roman" w:hAnsi="ˎ̥;Times New Roman"/>
          <w:color w:val="000000"/>
          <w:kern w:val="0"/>
          <w:sz w:val="18"/>
        </w:rPr>
        <w:t xml:space="preserve">       2</w:t>
      </w:r>
      <w:r>
        <w:rPr>
          <w:rFonts w:ascii="ˎ̥;Times New Roman" w:hAnsi="ˎ̥;Times New Roman" w:cs="宋体;SimSun"/>
          <w:color w:val="000000"/>
          <w:kern w:val="0"/>
          <w:sz w:val="18"/>
        </w:rPr>
        <w:t>、质量     被审计建议的采纳率和被执行率</w:t>
      </w:r>
      <w:r>
        <w:rPr>
          <w:rFonts w:cs="宋体;SimSun" w:ascii="ˎ̥;Times New Roman" w:hAnsi="ˎ̥;Times New Roman"/>
          <w:color w:val="000000"/>
          <w:kern w:val="0"/>
          <w:sz w:val="18"/>
          <w:szCs w:val="18"/>
          <w:shd w:fill="F4F4F4" w:val="clear"/>
        </w:rPr>
        <w:br/>
        <w:br/>
      </w:r>
      <w:r>
        <w:rPr>
          <w:rFonts w:cs="宋体;SimSun" w:ascii="ˎ̥;Times New Roman" w:hAnsi="ˎ̥;Times New Roman"/>
          <w:color w:val="000000"/>
          <w:kern w:val="0"/>
          <w:sz w:val="18"/>
        </w:rPr>
        <w:t xml:space="preserve">       3</w:t>
      </w:r>
      <w:r>
        <w:rPr>
          <w:rFonts w:ascii="ˎ̥;Times New Roman" w:hAnsi="ˎ̥;Times New Roman" w:cs="宋体;SimSun"/>
          <w:color w:val="000000"/>
          <w:kern w:val="0"/>
          <w:sz w:val="18"/>
        </w:rPr>
        <w:t>、效率     审计计划的完成及时率</w:t>
      </w:r>
      <w:r>
        <w:rPr>
          <w:rFonts w:cs="宋体;SimSun" w:ascii="ˎ̥;Times New Roman" w:hAnsi="ˎ̥;Times New Roman"/>
          <w:color w:val="000000"/>
          <w:kern w:val="0"/>
          <w:sz w:val="18"/>
          <w:szCs w:val="18"/>
          <w:shd w:fill="F4F4F4" w:val="clear"/>
        </w:rPr>
        <w:br/>
        <w:br/>
      </w:r>
      <w:r>
        <w:rPr>
          <w:rFonts w:cs="宋体;SimSun" w:ascii="ˎ̥;Times New Roman" w:hAnsi="ˎ̥;Times New Roman"/>
          <w:color w:val="000000"/>
          <w:kern w:val="0"/>
          <w:sz w:val="18"/>
        </w:rPr>
        <w:t xml:space="preserve">       4</w:t>
      </w:r>
      <w:r>
        <w:rPr>
          <w:rFonts w:ascii="ˎ̥;Times New Roman" w:hAnsi="ˎ̥;Times New Roman" w:cs="宋体;SimSun"/>
          <w:color w:val="000000"/>
          <w:kern w:val="0"/>
          <w:sz w:val="18"/>
        </w:rPr>
        <w:t>、效益     内审带来的资金节约或增加收入</w:t>
      </w:r>
      <w:r>
        <w:rPr>
          <w:rFonts w:cs="宋体;SimSun" w:ascii="ˎ̥;Times New Roman" w:hAnsi="ˎ̥;Times New Roman"/>
          <w:color w:val="000000"/>
          <w:kern w:val="0"/>
          <w:sz w:val="18"/>
          <w:szCs w:val="18"/>
          <w:shd w:fill="F4F4F4" w:val="clear"/>
        </w:rPr>
        <w:br/>
        <w:br/>
      </w:r>
      <w:r>
        <w:rPr>
          <w:rFonts w:cs="宋体;SimSun" w:ascii="ˎ̥;Times New Roman" w:hAnsi="ˎ̥;Times New Roman"/>
          <w:color w:val="000000"/>
          <w:kern w:val="0"/>
          <w:sz w:val="18"/>
        </w:rPr>
        <w:t xml:space="preserve">       5</w:t>
      </w:r>
      <w:r>
        <w:rPr>
          <w:rFonts w:ascii="ˎ̥;Times New Roman" w:hAnsi="ˎ̥;Times New Roman" w:cs="宋体;SimSun"/>
          <w:color w:val="000000"/>
          <w:kern w:val="0"/>
          <w:sz w:val="18"/>
        </w:rPr>
        <w:t>、覆盖率   审计的循环覆盖面（销售收款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采购付款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安全防护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生产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存货和物流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投融资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人事薪资</w:t>
      </w:r>
      <w:r>
        <w:rPr>
          <w:rFonts w:cs="宋体;SimSun" w:ascii="ˎ̥;Times New Roman" w:hAnsi="ˎ̥;Times New Roman"/>
          <w:color w:val="000000"/>
          <w:kern w:val="0"/>
          <w:sz w:val="18"/>
        </w:rPr>
        <w:t>/IT</w:t>
      </w:r>
      <w:r>
        <w:rPr>
          <w:rFonts w:ascii="ˎ̥;Times New Roman" w:hAnsi="ˎ̥;Times New Roman" w:cs="宋体;SimSun"/>
          <w:color w:val="000000"/>
          <w:kern w:val="0"/>
          <w:sz w:val="18"/>
        </w:rPr>
        <w:t>咨询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工务与技改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舞弊</w:t>
      </w:r>
      <w:r>
        <w:rPr>
          <w:rFonts w:cs="宋体;SimSun" w:ascii="ˎ̥;Times New Roman" w:hAnsi="ˎ̥;Times New Roman"/>
          <w:color w:val="000000"/>
          <w:kern w:val="0"/>
          <w:sz w:val="18"/>
        </w:rPr>
        <w:t>/</w:t>
      </w:r>
      <w:r>
        <w:rPr>
          <w:rFonts w:ascii="ˎ̥;Times New Roman" w:hAnsi="ˎ̥;Times New Roman" w:cs="宋体;SimSun"/>
          <w:color w:val="000000"/>
          <w:kern w:val="0"/>
          <w:sz w:val="18"/>
        </w:rPr>
        <w:t>内贸审计）</w:t>
      </w:r>
      <w:r>
        <w:rPr>
          <w:rFonts w:cs="宋体;SimSun" w:ascii="ˎ̥;Times New Roman" w:hAnsi="ˎ̥;Times New Roman"/>
          <w:color w:val="000000"/>
          <w:kern w:val="0"/>
          <w:sz w:val="18"/>
          <w:szCs w:val="18"/>
          <w:shd w:fill="F4F4F4" w:val="clear"/>
        </w:rPr>
        <w:br/>
        <w:br/>
      </w:r>
      <w:r>
        <w:rPr>
          <w:rFonts w:cs="宋体;SimSun" w:ascii="ˎ̥;Times New Roman" w:hAnsi="ˎ̥;Times New Roman"/>
          <w:color w:val="000000"/>
          <w:kern w:val="0"/>
          <w:sz w:val="18"/>
        </w:rPr>
        <w:t xml:space="preserve">       6</w:t>
      </w:r>
      <w:r>
        <w:rPr>
          <w:rFonts w:ascii="ˎ̥;Times New Roman" w:hAnsi="ˎ̥;Times New Roman" w:cs="宋体;SimSun"/>
          <w:color w:val="000000"/>
          <w:kern w:val="0"/>
          <w:sz w:val="18"/>
        </w:rPr>
        <w:t>、满意度   客户对审计的满意度调查</w:t>
      </w:r>
      <w:r>
        <w:rPr>
          <w:rFonts w:cs="宋体;SimSun" w:ascii="ˎ̥;Times New Roman" w:hAnsi="ˎ̥;Times New Roman"/>
          <w:color w:val="000000"/>
          <w:kern w:val="0"/>
          <w:sz w:val="18"/>
          <w:szCs w:val="18"/>
          <w:shd w:fill="F4F4F4" w:val="clear"/>
        </w:rPr>
        <w:br/>
        <w:br/>
      </w:r>
      <w:r>
        <w:rPr>
          <w:rFonts w:cs="宋体;SimSun" w:ascii="ˎ̥;Times New Roman" w:hAnsi="ˎ̥;Times New Roman"/>
          <w:color w:val="000000"/>
          <w:kern w:val="0"/>
          <w:sz w:val="18"/>
        </w:rPr>
        <w:t xml:space="preserve">       7</w:t>
      </w:r>
      <w:r>
        <w:rPr>
          <w:rFonts w:ascii="ˎ̥;Times New Roman" w:hAnsi="ˎ̥;Times New Roman" w:cs="宋体;SimSun"/>
          <w:color w:val="000000"/>
          <w:kern w:val="0"/>
          <w:sz w:val="18"/>
        </w:rPr>
        <w:t>、保证度   部门人员的技能提升（可考虑定向的技能培训如：信用管制、</w:t>
      </w:r>
      <w:r>
        <w:rPr>
          <w:rFonts w:cs="宋体;SimSun" w:ascii="ˎ̥;Times New Roman" w:hAnsi="ˎ̥;Times New Roman"/>
          <w:color w:val="000000"/>
          <w:kern w:val="0"/>
          <w:sz w:val="18"/>
        </w:rPr>
        <w:t>SOX</w:t>
      </w:r>
      <w:r>
        <w:rPr>
          <w:rFonts w:ascii="ˎ̥;Times New Roman" w:hAnsi="ˎ̥;Times New Roman" w:cs="宋体;SimSun"/>
          <w:color w:val="000000"/>
          <w:kern w:val="0"/>
          <w:sz w:val="18"/>
        </w:rPr>
        <w:t>法案、</w:t>
      </w:r>
      <w:r>
        <w:rPr>
          <w:rFonts w:cs="宋体;SimSun" w:ascii="ˎ̥;Times New Roman" w:hAnsi="ˎ̥;Times New Roman"/>
          <w:color w:val="000000"/>
          <w:kern w:val="0"/>
          <w:sz w:val="18"/>
        </w:rPr>
        <w:t>COSO-RRM</w:t>
      </w:r>
      <w:r>
        <w:rPr>
          <w:rFonts w:ascii="ˎ̥;Times New Roman" w:hAnsi="ˎ̥;Times New Roman" w:cs="宋体;SimSun"/>
          <w:color w:val="000000"/>
          <w:kern w:val="0"/>
          <w:sz w:val="18"/>
        </w:rPr>
        <w:t>的学习、新会计准则学习、</w:t>
      </w:r>
      <w:r>
        <w:rPr>
          <w:rFonts w:cs="宋体;SimSun" w:ascii="ˎ̥;Times New Roman" w:hAnsi="ˎ̥;Times New Roman"/>
          <w:color w:val="000000"/>
          <w:kern w:val="0"/>
          <w:sz w:val="18"/>
        </w:rPr>
        <w:t>EXCEL</w:t>
      </w:r>
      <w:r>
        <w:rPr>
          <w:rFonts w:ascii="ˎ̥;Times New Roman" w:hAnsi="ˎ̥;Times New Roman" w:cs="宋体;SimSun"/>
          <w:color w:val="000000"/>
          <w:kern w:val="0"/>
          <w:sz w:val="18"/>
        </w:rPr>
        <w:t>高阶学习、生产管理知识的学习、采购管理知识的学习、销售管理知识的学习、</w:t>
      </w:r>
      <w:r>
        <w:rPr>
          <w:rFonts w:cs="宋体;SimSun" w:ascii="ˎ̥;Times New Roman" w:hAnsi="ˎ̥;Times New Roman"/>
          <w:color w:val="000000"/>
          <w:kern w:val="0"/>
          <w:sz w:val="18"/>
        </w:rPr>
        <w:t>IT</w:t>
      </w:r>
      <w:r>
        <w:rPr>
          <w:rFonts w:ascii="ˎ̥;Times New Roman" w:hAnsi="ˎ̥;Times New Roman" w:cs="宋体;SimSun"/>
          <w:color w:val="000000"/>
          <w:kern w:val="0"/>
          <w:sz w:val="18"/>
        </w:rPr>
        <w:t>咨询知识的学习、</w:t>
      </w:r>
      <w:r>
        <w:rPr>
          <w:rFonts w:cs="宋体;SimSun" w:ascii="ˎ̥;Times New Roman" w:hAnsi="ˎ̥;Times New Roman"/>
          <w:color w:val="000000"/>
          <w:kern w:val="0"/>
          <w:sz w:val="18"/>
        </w:rPr>
        <w:t>SAP</w:t>
      </w:r>
      <w:r>
        <w:rPr>
          <w:rFonts w:ascii="ˎ̥;Times New Roman" w:hAnsi="ˎ̥;Times New Roman" w:cs="宋体;SimSun"/>
          <w:color w:val="000000"/>
          <w:kern w:val="0"/>
          <w:sz w:val="18"/>
        </w:rPr>
        <w:t>的模块学习、报告的改进、工作底稿的整理、审计方案的制定流程等等这些</w:t>
      </w:r>
    </w:p>
    <w:p>
      <w:pPr>
        <w:pStyle w:val="Normal"/>
        <w:rPr>
          <w:rStyle w:val="StrongEmphasis"/>
          <w:rFonts w:ascii="ˎ̥;Times New Roman" w:hAnsi="ˎ̥;Times New Roman" w:cs="ˎ̥;Times New Roman"/>
          <w:color w:val="000000"/>
          <w:sz w:val="18"/>
          <w:szCs w:val="18"/>
        </w:rPr>
      </w:pPr>
      <w:r>
        <w:rPr>
          <w:rStyle w:val="StrongEmphasis"/>
          <w:rFonts w:ascii="ˎ̥;Times New Roman" w:hAnsi="ˎ̥;Times New Roman" w:cs="ˎ̥;Times New Roman"/>
          <w:color w:val="000000"/>
          <w:sz w:val="18"/>
          <w:szCs w:val="18"/>
        </w:rPr>
        <w:t>内部审计</w:t>
      </w:r>
      <w:r>
        <w:rPr>
          <w:rStyle w:val="StrongEmphasis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StrongEmphasis"/>
          <w:rFonts w:ascii="ˎ̥;Times New Roman" w:hAnsi="ˎ̥;Times New Roman" w:cs="ˎ̥;Times New Roman"/>
          <w:color w:val="000000"/>
          <w:sz w:val="18"/>
          <w:szCs w:val="18"/>
        </w:rPr>
        <w:t>指标库</w:t>
      </w:r>
    </w:p>
    <w:p>
      <w:pPr>
        <w:pStyle w:val="Normal"/>
        <w:rPr/>
      </w:pP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库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、审计计划制定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审计计划制定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SJ001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强化计划意识，提高审计工作效率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对一定周期内审计项目及各项工作的计划和规划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能够制定详尽的计划，计划任务的饱和度高且可执行性强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能够制定详尽的计划，计划任务的饱和度较高且有可执行性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能够制定计划，计划任务的饱和度一般且可执行性一般强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能够制定计划，计划任务的饱和度及可执行性不太强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没有计划或者计划不明确，基本没有可知行性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2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、审计计划达成率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审计计划达成率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SJ002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强化计划意识，提高审计效率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在一定周期内审计计划的按时达成情况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出色的完成全部计划任务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能够完成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％计划任务 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能够完成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％的计划任务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能够完成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％的计划   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不能够完成计划        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3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、审计及时性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审计及时性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SJ003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强化时效意识，提高审计效率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问题的发现、解决及项目立项、审计等工作的效率和实效性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非常及时地发现问题、调查并解决问题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较及时地发现问题、调查并解决问题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能及时发现问题、但是调查和解决问题不够及时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发现问题、调查并解决问题不够及时，但没有重大后果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发现问题、调查并解决问题不够及时，造成较大后果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4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、审计建议及应用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审计建议及应用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SJ004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强化主动意识，提高审计的价值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审计中发现的问题提出建议及其建议的应用程度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提出的建议极具建设性，并且得到完全应用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提出的建议较有建设性，并且得到较大应用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提出的建议较有建设性，并且得到部分应用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能够提出的建议，但是应用性不强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提出的建议笼统，没有应用价值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5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、审计报告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审计报告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SJ005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强化主动意识，提高审计的价值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审计中发现的问题提出建议及其建议的应用程度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报告内容真实、具体，分析透彻，有完整的解决方案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报告内容真实、具体，分析较好，有较好的解决方案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报告内容真实、具体，分析一般，有解决方案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报告内容真实，但是不够具体，分析和解决方案不实用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报告内容泛泛而谈，没有分析和解决方案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、审计制度的完善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审计制度的完善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SJ006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强化制度意识，提高审计的规范性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审计中发现的问题提出建议及其建议的应用程度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有详实的制度制定计划，并高质量的完成计划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有详实的制度制定计划，并较高质量的完成计划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有制度制定计划，并能完成大部分计划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制度制定计划不明确，制度制定的也不够实用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没有制度制定计划，制度建设很差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、审计档案齐全率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档案齐全率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SJ007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强化规范意识，提高审计的档案管理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所存放审计资料、档案占所有资料的比例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有详实的档案管理制度，所有资料均有存档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有详实的档案管理制度，所有重要资料存档，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95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％以上的资料存档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档案管理制度基本完善，所有重要资料存档，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％以上的资料存档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有档案管理制度，所有重要资料存档，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85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％以上的资料均有存档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没有档案管理制度，档案存放较乱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、审计申诉的接收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审计申诉处理的接收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SJ008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强化监督意识，提高审计的公平性和公开性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对审计结果申诉、投诉的接收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耐心接收到投诉、申诉，严格按照流程进行处理前的准备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耐心接收到投诉、申诉，并按照流程进行处理前的准备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接收到投诉、申诉后能做处理前的准备但没有严格按照流程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接收到投诉、申诉后没有按照流程进行处理前的准备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接收到投诉、申诉后没有进行处理前的准备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、审计申诉处理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审计申诉处理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强化监督意识，提高审计的公平性和公开性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对审计结果申诉、投诉的接受、调查和反馈等的处理过程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接收到申诉后迅速展开调查、反馈，处理过程公正快速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接收到申诉后迅速展开调查、反馈，处理公正、公平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接收到申诉后并展开调查、反馈，处理较公正、公平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接收到申诉后并展开调查、反馈，处理过程不够认真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接收到申诉后没有调查，处理过程和结果不公正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、审计申诉处理报告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审计申诉处理报告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SJ010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强化规范意识，提高审计的科学性和规范性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对审计结果申诉、投诉的接受、调查和反馈等的处理过程形成报告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报告内容真实、详实，有行之有效的处理、解决方案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报告内容真实、具体，有较好的处理、解决方案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报告内容真实、具体，分析一般，有解决方案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报告内容真实，但是不够具体，处理方案不实用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报告内容泛泛而谈，没有分析和解决方案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11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、监察计划制定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监察计划制定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SJ011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强化计划意识，提高监察效率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对一定周期内监察项目及各项工作的计划和规划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能够制定详尽的计划，计划任务的饱和度高且可执行性强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能够制定详尽的计划，计划任务的饱和度较高且有可执行性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能够制定计划，计划任务的饱和度一般且可执行性一般强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能够制定计划，计划任务的饱和度及可执行性不太强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没有计划或者计划不明确，基本没有可执行性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12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、监察计划达成率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监察计划达成率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SJ012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强化计划意识，提高监察效率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在一定周期内按时完成监察计划的达成情况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出色的完成全部计划任务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较好的完成计划任务   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能够完成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％的计划   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能够完成多数计划     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不能够完成计划          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13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、监察及时性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监察及时性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SJ0013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强化时效意识，提高监察效率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问题的发现、解决及项目立项、监察等工作的效率和实效性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非常及时地发现问题、调查并解决问题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较及时地发现问题、调查并解决问题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能及时发现问题、但是调查和解决问题不够及时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发现问题、调查并解决问题不够及时，但没有重大后果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发现问题、调查并解决问题不够及时，造成较大后果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14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、监察建议及应用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监察建议及应用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SJ0014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强化主动意识，提高监察的价值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监察中发现的问题提出建议及其建议的应用程度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提出的建议极具建设性，并且得到完全应用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提出的建议较有建设性，并且得到较大应用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提出的建议较有建设性，并且得到部分应用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能够提出的建议，但是应用性不强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提出的建议笼统，没有应用价值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15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、监察报告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监察报告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SJ0015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强化主动意识，提高监察的价值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监察中发现的问题提出建议及其建议的应用程度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报告内容真实、具体，分析透彻，有完整的解决方案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报告内容真实、具体，分析较好，有较好的解决方案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报告内容真实、具体，分析一般，有解决方案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报告内容真实，但是不够具体，分析和解决方案不实用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报告内容泛泛而谈，没有分析和解决方案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16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、监察制度的完善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监察制度的完善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SJ0016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强化制度意识，提高监察的规范性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监察中发现的问题提出建议及其建议的应用程度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有详实的制度制定计划，并高质量的完成计划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有详实的制度制定计划，并较高质量的完成计划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有制度制定计划，并能完成大部分计划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制度制定计划不明确，制度制定的也不够实用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没有制度制定计划，制度建设很差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17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、监察档案齐全率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监察档案齐全率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SJ0017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强化规范意识，提高监察的档案管理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所存放监察资料、档案占所有资料的比例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有详实的档案管理制度，所有资料均有存档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有详实的档案管理制度，所有重要资料存档，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95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％以上的资料存档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档案管理制度基本完善，所有重要资料存档，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％以上的资料存档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有档案管理制度，所有重要资料存档，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85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％以上的资料均有存档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没有档案管理制度，档案存放较乱     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18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、档案分类、查找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档案分类、查找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SJ018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强化规范意识，提高审计、监察的档案管理能力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所存放审计、监察资料是否合理分类、便于查找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有详实的分类标准，能快速为他人提供所查找的资料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有分类标准，能较快为他人提供所查找的资料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有分类标准，并能为他人提供所查找的资料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有分类标准，能为他人提供资料，但不够及时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没有分类标准，有时不能为他人提供所需资料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19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、监察申诉的接收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监察申诉处理的接收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SJ019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强化监督意识，提高监察的公平性和公开性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对监察结果申诉、投诉的接收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耐心接收到投诉、申诉，严格按照流程进行处理前的准备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耐心接收到投诉、申诉，并按照流程进行处理前的准备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接收到投诉、申诉后能做处理前的准备但没有严格按照流程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接收到投诉、申诉后没有按照流程进行处理前的准备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接收到投诉、申诉后没有进行处理前的准备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 xml:space="preserve">0 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20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、监察申诉处理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监察申诉处理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SJ020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强化监督意识，提高监察的公平性和公开性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对监察结果申诉、投诉的接受、调查和反馈等的处理过程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接收到申诉后迅速展开调查、反馈，处理过程公正快速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接收到申诉后迅速展开调查、反馈，处理公正、公平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接收到申诉后并展开调查、反馈，处理较公正、公平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接收到申诉后并展开调查、反馈，处理过程不够认真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接收到申诉后没有调查，处理过程和结果不公正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21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、监察申诉处理报告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监察申诉处理报告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SJ021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强化规范意识，提高监察的科学性和规范性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对监察结果申诉、投诉的接受、调查和反馈等的处理过程形成报告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报告内容真实、详实，有行之有效的处理、解决方案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报告内容真实、具体，有较好的处理、解决方案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报告内容真实、具体，分析一般，有解决方案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报告内容真实，但是不够具体，处理方案不实用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报告内容泛泛而谈，没有分析和解决方案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22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、廉洁性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廉洁性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SJ022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强化廉洁意识，提高监察的公正性和权威性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监察人员在监察过程中不违反纪律保持廉洁自爱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严于律己，刚正不阿，并能够影响感染他人树立正气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严于律己，刚正不阿，能够检举他人的不良风气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严于律己，刚正不阿，不受贿，工作不送人情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对自己要求较高，不受贿，不违反原则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对自己要求不高，有舞弊及其他违纪的嫌疑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23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、团队建设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团队建设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SJ023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强化团队意识，提高监察部门的合作性和协作精神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部门或科室领导对团队的协调、领导和管理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部门紧密合作，凝聚力强，工作氛围融洽，培训合理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部门紧密合作，工作氛围较融洽，培训合理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部门合作较紧密，工作氛围较融洽，培训较合理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部门合作较紧密，培训不够合理        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部门合作性差，没有好的培训，上下级关系紧张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24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大案要案处理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大案要案处理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SJ024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强化监督意识，提高对大案要案处理的效率和效果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对大案要案的界定、立案、调查等过程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大案要案界定准确、立案及时、调查深入、细致、快速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大案要案界定准确、立案及时、调查较深入、细致、快速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大案要案界定较准确、立案及时、调查较深入、快速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大案要案界定较准确、立案不及时、调查不够细致、深入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大案要案界定模糊、立案不及时、调查不够细致、深入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相关说明    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25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大案要案报告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  <w:br/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KPI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 xml:space="preserve">指标名称    大案要案报告    编号    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SJ025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设立目的    强化规范意识，提高对大案要案处理的总结分析和跟踪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指标定义    对大案要案的调查过程、分析及处理意见的整理、汇总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考核周期    季度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评分标准    报告内容真实、具体，分析透彻，有完整的解决方案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90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100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报告内容真实、具体，分析较好，有较好的解决方案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89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报告内容真实、具体，分析一般，有解决方案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79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报告内容真实，但是不够具体，分析和解决方案不实用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60</w:t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－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69</w:t>
      </w:r>
      <w:r>
        <w:rPr>
          <w:rFonts w:cs="ˎ̥;Times New Roman" w:ascii="ˎ̥;Times New Roman" w:hAnsi="ˎ̥;Times New Roman"/>
          <w:color w:val="000000"/>
          <w:sz w:val="18"/>
          <w:szCs w:val="18"/>
        </w:rPr>
        <w:br/>
      </w:r>
      <w:r>
        <w:rPr>
          <w:rStyle w:val="Font14lineheight"/>
          <w:rFonts w:ascii="ˎ̥;Times New Roman" w:hAnsi="ˎ̥;Times New Roman" w:cs="ˎ̥;Times New Roman"/>
          <w:color w:val="000000"/>
          <w:sz w:val="18"/>
          <w:szCs w:val="18"/>
        </w:rPr>
        <w:t>报告内容泛泛而谈，没有分析和解决方案                  得分</w:t>
      </w:r>
      <w:r>
        <w:rPr>
          <w:rStyle w:val="Font14lineheight"/>
          <w:rFonts w:cs="ˎ̥;Times New Roman" w:ascii="ˎ̥;Times New Roman" w:hAnsi="ˎ̥;Times New Roman"/>
          <w:color w:val="000000"/>
          <w:sz w:val="18"/>
          <w:szCs w:val="18"/>
        </w:rPr>
        <w:t>0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ˎ̥">
    <w:altName w:val="Times New Roman"/>
    <w:charset w:val="00" w:characterSet="windows-1252"/>
    <w:family w:val="roman"/>
    <w:pitch w:val="default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Font14colorshblue">
    <w:name w:val="font14 color-shblue"/>
    <w:basedOn w:val="Style14"/>
    <w:qFormat/>
    <w:rPr/>
  </w:style>
  <w:style w:type="character" w:styleId="Font14lineheight">
    <w:name w:val="font14 line-height"/>
    <w:basedOn w:val="Style14"/>
    <w:qFormat/>
    <w:rPr/>
  </w:style>
  <w:style w:type="character" w:styleId="StrongEmphasis">
    <w:name w:val="Strong Emphasis"/>
    <w:basedOn w:val="Style14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2009-03-16T11:36:00Z</dcterms:created>
  <dc:creator>Xtzj.User</dc:creator>
  <dc:description/>
  <cp:keywords> </cp:keywords>
  <dc:language>en-US</dc:language>
  <cp:lastModifiedBy>Administrator</cp:lastModifiedBy>
  <dcterms:modified xsi:type="dcterms:W3CDTF">2015-08-12T15:09:00Z</dcterms:modified>
  <cp:revision>3</cp:revision>
  <dc:subject/>
  <dc:title>关于内审部门的KPI绩效考核设计[精华帖]</dc:title>
</cp:coreProperties>
</file>