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szCs w:val="18"/>
        </w:rPr>
      </w:pPr>
      <w:bookmarkStart w:id="0" w:name="_GoBack"/>
      <w:bookmarkEnd w:id="0"/>
      <w:r>
        <w:rPr>
          <w:rFonts w:hint="eastAsia" w:ascii="黑体" w:eastAsia="黑体"/>
          <w:b/>
          <w:sz w:val="32"/>
          <w:szCs w:val="18"/>
        </w:rPr>
        <w:t>设计部绩效考核方案</w:t>
      </w:r>
    </w:p>
    <w:p>
      <w:pPr>
        <w:rPr>
          <w:b/>
          <w:szCs w:val="21"/>
        </w:rPr>
      </w:pPr>
      <w:r>
        <w:rPr>
          <w:b/>
          <w:szCs w:val="21"/>
        </w:rPr>
        <w:t>一、目的</w:t>
      </w:r>
    </w:p>
    <w:p>
      <w:pPr>
        <w:rPr>
          <w:szCs w:val="21"/>
        </w:rPr>
      </w:pPr>
      <w:r>
        <w:rPr>
          <w:szCs w:val="21"/>
        </w:rPr>
        <w:t>为了建立和完善公司绩效管理制度体系，提高</w:t>
      </w:r>
      <w:r>
        <w:rPr>
          <w:rFonts w:hint="eastAsia"/>
          <w:szCs w:val="21"/>
        </w:rPr>
        <w:t>设计部</w:t>
      </w:r>
      <w:r>
        <w:rPr>
          <w:szCs w:val="21"/>
        </w:rPr>
        <w:t>人员的工作积极性和创造性，使员工的成绩得到认可，提高员工的满意度和成就感，提升员工的工作绩效；同时为了建立适应公司发展战略的人力资源队伍，增强部门和企业的凝聚力，保障部门和企业的事业得到持续的发展，特制定本方案。</w:t>
      </w:r>
    </w:p>
    <w:p>
      <w:pPr>
        <w:rPr>
          <w:b/>
          <w:szCs w:val="21"/>
        </w:rPr>
      </w:pPr>
      <w:r>
        <w:rPr>
          <w:b/>
          <w:szCs w:val="21"/>
        </w:rPr>
        <w:t>二、基本原则</w:t>
      </w:r>
    </w:p>
    <w:p>
      <w:pPr>
        <w:rPr>
          <w:szCs w:val="21"/>
        </w:rPr>
      </w:pPr>
      <w:r>
        <w:rPr>
          <w:rFonts w:hint="eastAsia"/>
          <w:szCs w:val="21"/>
        </w:rPr>
        <w:t>（一）</w:t>
      </w:r>
      <w:r>
        <w:rPr>
          <w:szCs w:val="21"/>
        </w:rPr>
        <w:t>透明原则</w:t>
      </w:r>
    </w:p>
    <w:p>
      <w:pPr>
        <w:rPr>
          <w:szCs w:val="21"/>
        </w:rPr>
      </w:pPr>
      <w:r>
        <w:rPr>
          <w:szCs w:val="21"/>
        </w:rPr>
        <w:t>考核流程、考核方法和考核指标清晰明确；考核者要向被考核者明确说明绩效管理的标准、程序、方法、时间等事宜，使考核者与被考核者对绩效考核目标不会存在明显的分歧，绩效管理有透明度。</w:t>
      </w:r>
    </w:p>
    <w:p>
      <w:pPr>
        <w:rPr>
          <w:szCs w:val="21"/>
        </w:rPr>
      </w:pPr>
      <w:r>
        <w:rPr>
          <w:rFonts w:hint="eastAsia"/>
          <w:szCs w:val="21"/>
        </w:rPr>
        <w:t>（二）</w:t>
      </w:r>
      <w:r>
        <w:rPr>
          <w:szCs w:val="21"/>
        </w:rPr>
        <w:t>沟通原则</w:t>
      </w:r>
    </w:p>
    <w:p>
      <w:pPr>
        <w:rPr>
          <w:szCs w:val="21"/>
        </w:rPr>
      </w:pPr>
      <w:r>
        <w:rPr>
          <w:szCs w:val="21"/>
        </w:rPr>
        <w:t>在绩效考核的过程中，考核者需要与被考核者进行充分沟通，听取被考核者对自己工作的评价与意见，发现问题或有不同意见应在第一时间内进行沟通解决。考核结果要及时反馈给被考核者，使考核结果公正合理。</w:t>
      </w:r>
    </w:p>
    <w:p>
      <w:pPr>
        <w:rPr>
          <w:szCs w:val="21"/>
        </w:rPr>
      </w:pPr>
      <w:r>
        <w:rPr>
          <w:rFonts w:hint="eastAsia"/>
          <w:szCs w:val="21"/>
        </w:rPr>
        <w:t>（三）</w:t>
      </w:r>
      <w:r>
        <w:rPr>
          <w:szCs w:val="21"/>
        </w:rPr>
        <w:t>时效原则</w:t>
      </w:r>
    </w:p>
    <w:p>
      <w:pPr>
        <w:rPr>
          <w:szCs w:val="21"/>
        </w:rPr>
      </w:pPr>
      <w:r>
        <w:rPr>
          <w:szCs w:val="21"/>
        </w:rPr>
        <w:t>员工考核是对考核期内工作成果的综合评价，不能将本考核期之前的表现强加于本次的考核结果中，也不能用某时段的突出工作表现来代替整个考核期的绩效。</w:t>
      </w:r>
    </w:p>
    <w:p>
      <w:pPr>
        <w:rPr>
          <w:szCs w:val="21"/>
        </w:rPr>
      </w:pPr>
      <w:r>
        <w:rPr>
          <w:rFonts w:hint="eastAsia"/>
          <w:szCs w:val="21"/>
        </w:rPr>
        <w:t>（四）</w:t>
      </w:r>
      <w:r>
        <w:rPr>
          <w:szCs w:val="21"/>
        </w:rPr>
        <w:t>客观原则</w:t>
      </w:r>
    </w:p>
    <w:p>
      <w:pPr>
        <w:rPr>
          <w:szCs w:val="21"/>
        </w:rPr>
      </w:pPr>
      <w:r>
        <w:rPr>
          <w:szCs w:val="21"/>
        </w:rPr>
        <w:t>考核结果是以各种统计数据和客观事实为基础的，对被考核者的任何考核评估都应该有事实依据，尽可能避免个人主观因素影响考核结果的客观性。</w:t>
      </w:r>
    </w:p>
    <w:p>
      <w:pPr>
        <w:rPr>
          <w:szCs w:val="21"/>
        </w:rPr>
      </w:pPr>
      <w:r>
        <w:rPr>
          <w:rFonts w:hint="eastAsia"/>
          <w:szCs w:val="21"/>
        </w:rPr>
        <w:t>（五）</w:t>
      </w:r>
      <w:r>
        <w:rPr>
          <w:szCs w:val="21"/>
        </w:rPr>
        <w:t>发展原则</w:t>
      </w:r>
    </w:p>
    <w:p>
      <w:pPr>
        <w:rPr>
          <w:szCs w:val="21"/>
        </w:rPr>
      </w:pPr>
      <w:r>
        <w:rPr>
          <w:szCs w:val="21"/>
        </w:rPr>
        <w:t>绩效管理是通过约束与竞争相结合的方式促进个人及团队的发展</w:t>
      </w:r>
      <w:r>
        <w:rPr>
          <w:rFonts w:hint="eastAsia"/>
          <w:szCs w:val="21"/>
        </w:rPr>
        <w:t>。</w:t>
      </w:r>
      <w:r>
        <w:rPr>
          <w:szCs w:val="21"/>
        </w:rPr>
        <w:t>因此，考核者和被考核者都应该将提高绩效作为首要的目标。</w:t>
      </w:r>
    </w:p>
    <w:p>
      <w:pPr>
        <w:rPr>
          <w:b/>
          <w:szCs w:val="21"/>
        </w:rPr>
      </w:pPr>
      <w:r>
        <w:rPr>
          <w:b/>
          <w:szCs w:val="21"/>
        </w:rPr>
        <w:t>三、适用范围</w:t>
      </w:r>
    </w:p>
    <w:p>
      <w:pPr>
        <w:rPr>
          <w:szCs w:val="21"/>
        </w:rPr>
      </w:pPr>
      <w:r>
        <w:rPr>
          <w:szCs w:val="21"/>
        </w:rPr>
        <w:t>除了</w:t>
      </w:r>
      <w:r>
        <w:rPr>
          <w:rFonts w:hint="eastAsia"/>
          <w:szCs w:val="21"/>
        </w:rPr>
        <w:t>设计部</w:t>
      </w:r>
      <w:r>
        <w:rPr>
          <w:szCs w:val="21"/>
        </w:rPr>
        <w:t>部经理以外的</w:t>
      </w:r>
      <w:r>
        <w:rPr>
          <w:rFonts w:hint="eastAsia"/>
          <w:szCs w:val="21"/>
        </w:rPr>
        <w:t>设计</w:t>
      </w:r>
      <w:r>
        <w:rPr>
          <w:szCs w:val="21"/>
        </w:rPr>
        <w:t>部的全体员工。</w:t>
      </w:r>
    </w:p>
    <w:p>
      <w:pPr>
        <w:rPr>
          <w:b/>
          <w:szCs w:val="21"/>
        </w:rPr>
      </w:pPr>
      <w:r>
        <w:rPr>
          <w:b/>
          <w:szCs w:val="21"/>
        </w:rPr>
        <w:t>四、考核时间</w:t>
      </w:r>
    </w:p>
    <w:p>
      <w:pPr>
        <w:rPr>
          <w:szCs w:val="21"/>
        </w:rPr>
      </w:pPr>
      <w:r>
        <w:rPr>
          <w:rFonts w:hint="eastAsia"/>
          <w:szCs w:val="21"/>
        </w:rPr>
        <w:t>设计</w:t>
      </w:r>
      <w:r>
        <w:rPr>
          <w:szCs w:val="21"/>
        </w:rPr>
        <w:t>人员绩效考核每月进行一次绩效评估，时间为每月的最后2个工作日。</w:t>
      </w:r>
    </w:p>
    <w:p>
      <w:pPr>
        <w:rPr>
          <w:b/>
          <w:szCs w:val="21"/>
        </w:rPr>
      </w:pPr>
      <w:r>
        <w:rPr>
          <w:b/>
          <w:szCs w:val="21"/>
        </w:rPr>
        <w:t>五、考核参与者</w:t>
      </w:r>
    </w:p>
    <w:p>
      <w:pPr>
        <w:rPr>
          <w:szCs w:val="21"/>
        </w:rPr>
      </w:pPr>
      <w:r>
        <w:rPr>
          <w:szCs w:val="21"/>
        </w:rPr>
        <w:t>公司按照绩效考核的有关规定成立绩效考核小组，由</w:t>
      </w:r>
      <w:r>
        <w:rPr>
          <w:rFonts w:hint="eastAsia"/>
          <w:szCs w:val="21"/>
        </w:rPr>
        <w:t>行政人资</w:t>
      </w:r>
      <w:r>
        <w:rPr>
          <w:szCs w:val="21"/>
        </w:rPr>
        <w:t>部经理、</w:t>
      </w:r>
      <w:r>
        <w:rPr>
          <w:rFonts w:hint="eastAsia"/>
          <w:szCs w:val="21"/>
        </w:rPr>
        <w:t>设计</w:t>
      </w:r>
      <w:r>
        <w:rPr>
          <w:szCs w:val="21"/>
        </w:rPr>
        <w:t>部经理及</w:t>
      </w:r>
      <w:r>
        <w:rPr>
          <w:rFonts w:hint="eastAsia"/>
          <w:szCs w:val="21"/>
        </w:rPr>
        <w:t>行政人资</w:t>
      </w:r>
      <w:r>
        <w:rPr>
          <w:szCs w:val="21"/>
        </w:rPr>
        <w:t>部和</w:t>
      </w:r>
      <w:r>
        <w:rPr>
          <w:rFonts w:hint="eastAsia"/>
          <w:szCs w:val="21"/>
        </w:rPr>
        <w:t>设计</w:t>
      </w:r>
      <w:r>
        <w:rPr>
          <w:szCs w:val="21"/>
        </w:rPr>
        <w:t>部的其他相关</w:t>
      </w:r>
      <w:r>
        <w:rPr>
          <w:rFonts w:hint="eastAsia"/>
          <w:szCs w:val="21"/>
        </w:rPr>
        <w:t>人员</w:t>
      </w:r>
      <w:r>
        <w:rPr>
          <w:szCs w:val="21"/>
        </w:rPr>
        <w:t>组成。</w:t>
      </w:r>
    </w:p>
    <w:p>
      <w:pPr>
        <w:pStyle w:val="8"/>
        <w:numPr>
          <w:ilvl w:val="0"/>
          <w:numId w:val="1"/>
        </w:numPr>
        <w:ind w:firstLineChars="0"/>
        <w:rPr>
          <w:szCs w:val="21"/>
        </w:rPr>
      </w:pPr>
      <w:r>
        <w:rPr>
          <w:rFonts w:hint="eastAsia"/>
          <w:szCs w:val="21"/>
        </w:rPr>
        <w:t xml:space="preserve"> </w:t>
      </w:r>
      <w:r>
        <w:rPr>
          <w:szCs w:val="21"/>
        </w:rPr>
        <w:t>行政人资部负责绩效考核培训与沟通，确保参与者明确绩效考核的目的和意义，掌握绩效考核的标准和方法；准备考核所用的各种表格；负责组织、协调绩效考核工作，进行时间进度控制、答疑等；撰写绩效考核的总结报告，就存在的问题和下一步的工作建议向公司管理层汇报。</w:t>
      </w:r>
      <w:r>
        <w:rPr>
          <w:rFonts w:hint="eastAsia"/>
          <w:szCs w:val="21"/>
        </w:rPr>
        <w:t xml:space="preserve"> </w:t>
      </w:r>
    </w:p>
    <w:p>
      <w:pPr>
        <w:rPr>
          <w:szCs w:val="21"/>
        </w:rPr>
      </w:pPr>
      <w:r>
        <w:rPr>
          <w:rFonts w:hint="eastAsia"/>
          <w:szCs w:val="21"/>
        </w:rPr>
        <w:t xml:space="preserve">② </w:t>
      </w:r>
      <w:r>
        <w:rPr>
          <w:szCs w:val="21"/>
        </w:rPr>
        <w:t>设计部经理负责与下属进行沟通，客观公正</w:t>
      </w:r>
      <w:r>
        <w:rPr>
          <w:rFonts w:hint="eastAsia"/>
          <w:szCs w:val="21"/>
        </w:rPr>
        <w:t>地</w:t>
      </w:r>
      <w:r>
        <w:rPr>
          <w:szCs w:val="21"/>
        </w:rPr>
        <w:t>对下属的绩效进行考核评估</w:t>
      </w:r>
      <w:r>
        <w:rPr>
          <w:rFonts w:hint="eastAsia"/>
          <w:szCs w:val="21"/>
        </w:rPr>
        <w:t>，</w:t>
      </w:r>
      <w:r>
        <w:rPr>
          <w:szCs w:val="21"/>
        </w:rPr>
        <w:t>并帮助下属认识到工作中存在的有待改善的问题；针对绩效评估中出现的问题随时与上级主管领导及行政人资部门沟通并提出意见和建议。</w:t>
      </w:r>
    </w:p>
    <w:p>
      <w:pPr>
        <w:rPr>
          <w:szCs w:val="21"/>
        </w:rPr>
      </w:pPr>
      <w:r>
        <w:rPr>
          <w:szCs w:val="21"/>
        </w:rPr>
      </w:r>
      <w:r>
        <w:rPr>
          <w:szCs w:val="21"/>
        </w:rPr>
      </w:r>
      <w:r>
        <w:rPr>
          <w:rFonts w:hint="eastAsia"/>
          <w:szCs w:val="21"/>
        </w:rPr>
      </w:r>
      <w:r>
        <w:rPr>
          <w:szCs w:val="21"/>
        </w:rPr>
      </w:r>
      <w:r>
        <w:rPr>
          <w:szCs w:val="21"/>
        </w:rPr>
      </w:r>
      <w:r>
        <w:rPr>
          <w:rFonts w:hint="eastAsia"/>
          <w:szCs w:val="21"/>
        </w:rPr>
        <w:t>③</w:t>
      </w:r>
      <w:r>
        <w:rPr>
          <w:szCs w:val="21"/>
        </w:rPr>
      </w:r>
      <w:r>
        <w:rPr>
          <w:rFonts w:hint="eastAsia"/>
          <w:szCs w:val="21"/>
        </w:rPr>
        <w:t xml:space="preserve"> </w:t>
      </w:r>
      <w:r>
        <w:rPr>
          <w:szCs w:val="21"/>
        </w:rPr>
        <w:t>绩效考核小组负责统筹评估考核分数，对被考核者进行综合绩效评估，并在考核结束后与被考核者进行反馈面谈，建立完整的绩效档案，递交主管领导审核。</w:t>
      </w:r>
    </w:p>
    <w:p>
      <w:pPr>
        <w:rPr>
          <w:szCs w:val="21"/>
        </w:rPr>
      </w:pPr>
    </w:p>
    <w:p>
      <w:pPr>
        <w:rPr>
          <w:b/>
          <w:szCs w:val="21"/>
        </w:rPr>
      </w:pPr>
      <w:r>
        <w:rPr>
          <w:b/>
          <w:szCs w:val="21"/>
        </w:rPr>
        <w:t>六、绩效沟通</w:t>
      </w:r>
    </w:p>
    <w:p>
      <w:pPr>
        <w:rPr>
          <w:szCs w:val="21"/>
        </w:rPr>
      </w:pPr>
      <w:r>
        <w:rPr>
          <w:szCs w:val="21"/>
        </w:rPr>
        <w:t>在绩效考核实施的过程中，考核小组与被考核者要进行持续的绩效沟通。在绩效沟通的过程中，考核者除了对被考核者的表现做出科学的评估之外，更重要的在于帮助被考核者提高工作效率，最大程度</w:t>
      </w:r>
      <w:r>
        <w:rPr>
          <w:rFonts w:hint="eastAsia"/>
          <w:szCs w:val="21"/>
        </w:rPr>
        <w:t>地</w:t>
      </w:r>
      <w:r>
        <w:rPr>
          <w:szCs w:val="21"/>
        </w:rPr>
        <w:t>开发潜能，从而促进公司发展战略的有效实施。</w:t>
      </w:r>
    </w:p>
    <w:p>
      <w:pPr>
        <w:rPr>
          <w:szCs w:val="21"/>
        </w:rPr>
      </w:pPr>
      <w:r>
        <w:rPr>
          <w:rFonts w:hint="eastAsia"/>
          <w:szCs w:val="21"/>
        </w:rPr>
        <w:t>（一）</w:t>
      </w:r>
      <w:r>
        <w:rPr>
          <w:szCs w:val="21"/>
        </w:rPr>
        <w:t>绩效沟通的目的</w:t>
      </w:r>
    </w:p>
    <w:p>
      <w:pPr>
        <w:rPr>
          <w:szCs w:val="21"/>
        </w:rPr>
      </w:pPr>
      <w:r>
        <w:rPr>
          <w:rFonts w:hint="eastAsia"/>
          <w:szCs w:val="21"/>
        </w:rPr>
        <w:t xml:space="preserve">① </w:t>
      </w:r>
      <w:r>
        <w:rPr>
          <w:szCs w:val="21"/>
        </w:rPr>
        <w:t>通过在绩效实施过程中考核者与被考核者的持续沟通，可以对绩效计划进行调整，使之更加适应公司发展的要求，更加适应环境的需要。</w:t>
      </w:r>
    </w:p>
    <w:p>
      <w:pPr>
        <w:rPr>
          <w:szCs w:val="21"/>
        </w:rPr>
      </w:pPr>
      <w:r>
        <w:rPr>
          <w:rFonts w:hint="eastAsia"/>
          <w:szCs w:val="21"/>
        </w:rPr>
        <w:t xml:space="preserve">② </w:t>
      </w:r>
      <w:r>
        <w:rPr>
          <w:szCs w:val="21"/>
        </w:rPr>
        <w:t>及时了解到被考核者在绩效考核期中所遇到的困难，并给予必要的帮助。</w:t>
      </w:r>
    </w:p>
    <w:p>
      <w:pPr>
        <w:rPr>
          <w:szCs w:val="21"/>
        </w:rPr>
      </w:pPr>
      <w:r>
        <w:rPr>
          <w:rFonts w:hint="eastAsia"/>
          <w:szCs w:val="21"/>
        </w:rPr>
        <w:t xml:space="preserve">③ </w:t>
      </w:r>
      <w:r>
        <w:rPr>
          <w:szCs w:val="21"/>
        </w:rPr>
        <w:t>及时发现并纠正被考核者在绩效实施过程中的问题和失误，使之不断</w:t>
      </w:r>
      <w:r>
        <w:rPr>
          <w:rFonts w:hint="eastAsia"/>
          <w:szCs w:val="21"/>
        </w:rPr>
        <w:t>地</w:t>
      </w:r>
      <w:r>
        <w:rPr>
          <w:szCs w:val="21"/>
        </w:rPr>
        <w:t>改进自己的工作方式和提高自己的个人能力。</w:t>
      </w:r>
    </w:p>
    <w:p>
      <w:pPr>
        <w:rPr>
          <w:szCs w:val="21"/>
        </w:rPr>
      </w:pPr>
      <w:r>
        <w:rPr>
          <w:rFonts w:hint="eastAsia"/>
          <w:szCs w:val="21"/>
        </w:rPr>
        <w:t xml:space="preserve">④ </w:t>
      </w:r>
      <w:r>
        <w:rPr>
          <w:szCs w:val="21"/>
        </w:rPr>
        <w:t>及时掌握工作进展情况，了解员工在工作中的表现，并为绩效评估的时候对被考核者做出恰当的评估做好信息收集工作。</w:t>
      </w:r>
    </w:p>
    <w:p>
      <w:pPr>
        <w:rPr>
          <w:szCs w:val="21"/>
        </w:rPr>
      </w:pPr>
      <w:r>
        <w:rPr>
          <w:rFonts w:hint="eastAsia"/>
          <w:szCs w:val="21"/>
        </w:rPr>
        <w:t>（二）</w:t>
      </w:r>
      <w:r>
        <w:rPr>
          <w:szCs w:val="21"/>
        </w:rPr>
        <w:t xml:space="preserve"> 绩效沟通的内容</w:t>
      </w:r>
    </w:p>
    <w:p>
      <w:pPr>
        <w:rPr>
          <w:szCs w:val="21"/>
        </w:rPr>
      </w:pPr>
      <w:r>
        <w:rPr>
          <w:rFonts w:hint="eastAsia"/>
          <w:szCs w:val="21"/>
        </w:rPr>
        <w:t xml:space="preserve">① </w:t>
      </w:r>
      <w:r>
        <w:rPr>
          <w:szCs w:val="21"/>
        </w:rPr>
        <w:t>被考核者的工作进展情况。哪些方面的工作进展</w:t>
      </w:r>
      <w:r>
        <w:rPr>
          <w:rFonts w:hint="eastAsia"/>
          <w:szCs w:val="21"/>
        </w:rPr>
        <w:t>得</w:t>
      </w:r>
      <w:r>
        <w:rPr>
          <w:szCs w:val="21"/>
        </w:rPr>
        <w:t>好，哪些方面存在着不足。</w:t>
      </w:r>
    </w:p>
    <w:p>
      <w:pPr>
        <w:rPr>
          <w:szCs w:val="21"/>
        </w:rPr>
      </w:pPr>
      <w:r>
        <w:rPr>
          <w:rFonts w:hint="eastAsia"/>
          <w:szCs w:val="21"/>
        </w:rPr>
        <w:t xml:space="preserve">② </w:t>
      </w:r>
      <w:r>
        <w:rPr>
          <w:szCs w:val="21"/>
        </w:rPr>
        <w:t>员工和团队是否在正确达成目标和绩效标准的轨道上运行。如果有偏离方向，该采取怎样的措施扭转局面。</w:t>
      </w:r>
    </w:p>
    <w:p>
      <w:pPr>
        <w:rPr>
          <w:szCs w:val="21"/>
        </w:rPr>
      </w:pPr>
      <w:r>
        <w:rPr>
          <w:rFonts w:hint="eastAsia"/>
          <w:szCs w:val="21"/>
        </w:rPr>
        <w:t xml:space="preserve">③ </w:t>
      </w:r>
      <w:r>
        <w:rPr>
          <w:szCs w:val="21"/>
        </w:rPr>
        <w:t>考核者采取何种行动来支持被考核者。</w:t>
      </w:r>
    </w:p>
    <w:p>
      <w:pPr>
        <w:rPr>
          <w:b/>
          <w:szCs w:val="21"/>
        </w:rPr>
      </w:pPr>
      <w:r>
        <w:rPr>
          <w:rFonts w:hint="eastAsia"/>
          <w:b/>
          <w:szCs w:val="21"/>
        </w:rPr>
        <w:t>七</w:t>
      </w:r>
      <w:r>
        <w:rPr>
          <w:b/>
          <w:szCs w:val="21"/>
        </w:rPr>
        <w:t>、绩效面谈</w:t>
      </w:r>
    </w:p>
    <w:p>
      <w:pPr>
        <w:rPr>
          <w:szCs w:val="21"/>
        </w:rPr>
      </w:pPr>
      <w:r>
        <w:rPr>
          <w:szCs w:val="21"/>
        </w:rPr>
        <w:t>在考核结束后，考核小组必须与每一位被考核者就考核结果进行绩效面谈。</w:t>
      </w:r>
    </w:p>
    <w:p>
      <w:pPr>
        <w:rPr>
          <w:szCs w:val="21"/>
        </w:rPr>
      </w:pPr>
      <w:r>
        <w:rPr>
          <w:rFonts w:hint="eastAsia"/>
          <w:szCs w:val="21"/>
        </w:rPr>
        <w:t>（一）</w:t>
      </w:r>
      <w:r>
        <w:rPr>
          <w:szCs w:val="21"/>
        </w:rPr>
        <w:t>绩效面谈遵循的原则</w:t>
      </w:r>
    </w:p>
    <w:p>
      <w:pPr>
        <w:rPr>
          <w:szCs w:val="21"/>
        </w:rPr>
      </w:pPr>
      <w:r>
        <w:rPr>
          <w:rFonts w:hint="eastAsia"/>
          <w:szCs w:val="21"/>
        </w:rPr>
        <w:t xml:space="preserve">① </w:t>
      </w:r>
      <w:r>
        <w:rPr>
          <w:szCs w:val="21"/>
        </w:rPr>
        <w:t>建立和维护彼此的信任。绩效面谈是双方沟通的过程，要想顺利地进行沟通，就必须始终保持积极饱满的情绪，建立一种彼此信任的氛围。</w:t>
      </w:r>
    </w:p>
    <w:p>
      <w:pPr>
        <w:rPr>
          <w:szCs w:val="21"/>
        </w:rPr>
      </w:pPr>
      <w:r>
        <w:rPr>
          <w:rFonts w:hint="eastAsia"/>
          <w:szCs w:val="21"/>
        </w:rPr>
        <w:t xml:space="preserve">② </w:t>
      </w:r>
      <w:r>
        <w:rPr>
          <w:szCs w:val="21"/>
        </w:rPr>
        <w:t>双向沟通，避免对立和冲突。绩效面谈是一个双向沟通的过程。面谈的过程中双方可能会有不同的见解，这时考核者应就存在不同见解的问题向员工解释清楚原则和事实，对自己错误的观点要勇于承认。</w:t>
      </w:r>
    </w:p>
    <w:p>
      <w:pPr>
        <w:rPr>
          <w:szCs w:val="21"/>
        </w:rPr>
      </w:pPr>
      <w:r>
        <w:rPr>
          <w:rFonts w:hint="eastAsia"/>
          <w:szCs w:val="21"/>
        </w:rPr>
        <w:t xml:space="preserve">③ </w:t>
      </w:r>
      <w:r>
        <w:rPr>
          <w:szCs w:val="21"/>
        </w:rPr>
        <w:t>优点和缺点并重。员工的缺点和优点都是应该在绩效面谈中找出来的，不能只重视其中一个方面而忽视另一个方面。</w:t>
      </w:r>
    </w:p>
    <w:p>
      <w:pPr>
        <w:rPr>
          <w:szCs w:val="21"/>
        </w:rPr>
      </w:pPr>
      <w:r>
        <w:rPr>
          <w:rFonts w:hint="eastAsia"/>
          <w:szCs w:val="21"/>
        </w:rPr>
        <w:t xml:space="preserve">④ </w:t>
      </w:r>
      <w:r>
        <w:rPr>
          <w:szCs w:val="21"/>
        </w:rPr>
        <w:t>问题诊断与指导并重，不仅谈论过去，更要着眼</w:t>
      </w:r>
      <w:r>
        <w:rPr>
          <w:rFonts w:hint="eastAsia"/>
          <w:szCs w:val="21"/>
        </w:rPr>
        <w:t>于</w:t>
      </w:r>
      <w:r>
        <w:rPr>
          <w:szCs w:val="21"/>
        </w:rPr>
        <w:t>未来。绩效考评的最终目的不是批评和惩罚，而是找出问题的原因并加以指导，从而使员工全面而快速地提高自己的绩效。</w:t>
      </w:r>
    </w:p>
    <w:p>
      <w:pPr>
        <w:rPr>
          <w:szCs w:val="21"/>
        </w:rPr>
      </w:pPr>
      <w:r>
        <w:rPr>
          <w:rFonts w:hint="eastAsia"/>
          <w:szCs w:val="21"/>
        </w:rPr>
        <w:t>（二）</w:t>
      </w:r>
      <w:r>
        <w:rPr>
          <w:szCs w:val="21"/>
        </w:rPr>
        <w:t>绩效面谈的目的</w:t>
      </w:r>
    </w:p>
    <w:p>
      <w:pPr>
        <w:rPr>
          <w:szCs w:val="21"/>
        </w:rPr>
      </w:pPr>
      <w:r>
        <w:rPr>
          <w:rFonts w:hint="eastAsia"/>
          <w:szCs w:val="21"/>
        </w:rPr>
        <w:t xml:space="preserve">① </w:t>
      </w:r>
      <w:r>
        <w:rPr>
          <w:szCs w:val="21"/>
        </w:rPr>
        <w:t>对绩效考核达成一致的看法。对同样的行为表现，往往不同的人有不同的看法，因此，必须进行沟通以达成一致的看法，这样才能制</w:t>
      </w:r>
      <w:r>
        <w:rPr>
          <w:rFonts w:hint="eastAsia"/>
          <w:szCs w:val="21"/>
        </w:rPr>
        <w:t>订</w:t>
      </w:r>
      <w:r>
        <w:rPr>
          <w:szCs w:val="21"/>
        </w:rPr>
        <w:t>下一步的绩效改进计划。</w:t>
      </w:r>
    </w:p>
    <w:p>
      <w:pPr>
        <w:rPr>
          <w:szCs w:val="21"/>
        </w:rPr>
      </w:pPr>
      <w:r>
        <w:rPr>
          <w:rFonts w:hint="eastAsia"/>
          <w:szCs w:val="21"/>
        </w:rPr>
        <w:t xml:space="preserve">② </w:t>
      </w:r>
      <w:r>
        <w:rPr>
          <w:szCs w:val="21"/>
        </w:rPr>
        <w:t>认可员工的成就和优点。每个人都有被他人认可的需要。绩效面谈很重要的一个目的就是使员工认识到自己的成就和优点，从而对员工起到激励作用。</w:t>
      </w:r>
    </w:p>
    <w:p>
      <w:pPr>
        <w:rPr>
          <w:szCs w:val="21"/>
        </w:rPr>
      </w:pPr>
      <w:r>
        <w:rPr>
          <w:rFonts w:hint="eastAsia"/>
          <w:szCs w:val="21"/>
        </w:rPr>
        <w:t xml:space="preserve">③ </w:t>
      </w:r>
      <w:r>
        <w:rPr>
          <w:szCs w:val="21"/>
        </w:rPr>
        <w:t>指出员工有待改进的方面。尽管有的员工十分优秀，但在绩效考核中仍然存在一些问题和不足之处，有需要改进的地方，这都是应该在绩效面谈过程中指出的。</w:t>
      </w:r>
    </w:p>
    <w:p>
      <w:pPr>
        <w:rPr>
          <w:szCs w:val="21"/>
        </w:rPr>
      </w:pPr>
      <w:r>
        <w:rPr>
          <w:rFonts w:hint="eastAsia"/>
          <w:szCs w:val="21"/>
        </w:rPr>
        <w:t xml:space="preserve">④ </w:t>
      </w:r>
      <w:r>
        <w:rPr>
          <w:szCs w:val="21"/>
        </w:rPr>
        <w:t>制</w:t>
      </w:r>
      <w:r>
        <w:rPr>
          <w:rFonts w:hint="eastAsia"/>
          <w:szCs w:val="21"/>
        </w:rPr>
        <w:t>订</w:t>
      </w:r>
      <w:r>
        <w:rPr>
          <w:szCs w:val="21"/>
        </w:rPr>
        <w:t>绩效改进计划和培训计划。在双方对绩效评估的结果达成一致意见后，员工和考核者可以在绩效面谈的过程中一同制</w:t>
      </w:r>
      <w:r>
        <w:rPr>
          <w:rFonts w:hint="eastAsia"/>
          <w:szCs w:val="21"/>
        </w:rPr>
        <w:t>订</w:t>
      </w:r>
      <w:r>
        <w:rPr>
          <w:szCs w:val="21"/>
        </w:rPr>
        <w:t>绩效改进计划，并依照考核结果和培训需求商定培训计划。</w:t>
      </w:r>
    </w:p>
    <w:p>
      <w:pPr>
        <w:rPr>
          <w:szCs w:val="21"/>
        </w:rPr>
      </w:pPr>
      <w:r>
        <w:rPr>
          <w:rFonts w:hint="eastAsia"/>
          <w:szCs w:val="21"/>
        </w:rPr>
        <w:t xml:space="preserve">⑤ </w:t>
      </w:r>
      <w:r>
        <w:rPr>
          <w:szCs w:val="21"/>
        </w:rPr>
        <w:t>协商下一个绩效管理周期的目标与绩效标准。绩效管理是一个往复循环的过程。一个绩效管理周期的结束，同时也是下一个绩效管理周期的开始。</w:t>
      </w:r>
    </w:p>
    <w:p>
      <w:pPr>
        <w:rPr>
          <w:b/>
          <w:szCs w:val="21"/>
        </w:rPr>
      </w:pPr>
      <w:r>
        <w:rPr>
          <w:rFonts w:hint="eastAsia"/>
          <w:b/>
          <w:szCs w:val="21"/>
        </w:rPr>
        <w:t>八</w:t>
      </w:r>
      <w:r>
        <w:rPr>
          <w:b/>
          <w:szCs w:val="21"/>
        </w:rPr>
        <w:t>、考核等级</w:t>
      </w:r>
    </w:p>
    <w:p>
      <w:pPr>
        <w:rPr>
          <w:szCs w:val="21"/>
        </w:rPr>
      </w:pPr>
      <w:r>
        <w:rPr>
          <w:szCs w:val="21"/>
        </w:rPr>
        <w:t>考核等级</w:t>
      </w:r>
    </w:p>
    <w:p>
      <w:pPr>
        <w:rPr>
          <w:szCs w:val="21"/>
        </w:rPr>
      </w:pPr>
      <w:r>
        <w:rPr>
          <w:szCs w:val="21"/>
        </w:rPr>
        <w:t>根据考核成绩的分值结果，从高到低分为五个等级，分别是“S”、“A”、“B”、“C”和“D”。具体等级标准见下表。</w:t>
      </w:r>
    </w:p>
    <w:p>
      <w:pPr>
        <w:rPr>
          <w:b/>
          <w:szCs w:val="21"/>
        </w:rPr>
      </w:pPr>
    </w:p>
    <w:p>
      <w:pPr>
        <w:rPr>
          <w:b/>
          <w:szCs w:val="21"/>
        </w:rPr>
      </w:pPr>
      <w:r>
        <w:rPr>
          <w:b/>
          <w:szCs w:val="21"/>
        </w:rPr>
        <w:t>考核等级表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
        <w:gridCol w:w="900"/>
        <w:gridCol w:w="1260"/>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gridSpan w:val="2"/>
            <w:shd w:val="clear" w:color="auto" w:fill="auto"/>
            <w:vAlign w:val="center"/>
          </w:tcPr>
          <w:p>
            <w:pPr>
              <w:rPr>
                <w:szCs w:val="21"/>
              </w:rPr>
            </w:pPr>
            <w:r>
              <w:rPr>
                <w:szCs w:val="21"/>
              </w:rPr>
              <w:t>等级</w:t>
            </w:r>
          </w:p>
        </w:tc>
        <w:tc>
          <w:tcPr>
            <w:tcW w:w="1260" w:type="dxa"/>
            <w:shd w:val="clear" w:color="auto" w:fill="auto"/>
            <w:vAlign w:val="center"/>
          </w:tcPr>
          <w:p>
            <w:pPr>
              <w:rPr>
                <w:szCs w:val="21"/>
              </w:rPr>
            </w:pPr>
            <w:r>
              <w:rPr>
                <w:szCs w:val="21"/>
              </w:rPr>
              <w:t>分值</w:t>
            </w:r>
          </w:p>
        </w:tc>
        <w:tc>
          <w:tcPr>
            <w:tcW w:w="5781" w:type="dxa"/>
            <w:shd w:val="clear" w:color="auto" w:fill="auto"/>
            <w:vAlign w:val="center"/>
          </w:tcPr>
          <w:p>
            <w:pP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shd w:val="clear" w:color="auto" w:fill="auto"/>
            <w:vAlign w:val="center"/>
          </w:tcPr>
          <w:p>
            <w:pPr>
              <w:rPr>
                <w:szCs w:val="21"/>
              </w:rPr>
            </w:pPr>
            <w:r>
              <w:rPr>
                <w:szCs w:val="21"/>
              </w:rPr>
              <w:t>S</w:t>
            </w:r>
          </w:p>
        </w:tc>
        <w:tc>
          <w:tcPr>
            <w:tcW w:w="900" w:type="dxa"/>
            <w:shd w:val="clear" w:color="auto" w:fill="auto"/>
            <w:vAlign w:val="center"/>
          </w:tcPr>
          <w:p>
            <w:pPr>
              <w:rPr>
                <w:szCs w:val="21"/>
              </w:rPr>
            </w:pPr>
            <w:r>
              <w:rPr>
                <w:szCs w:val="21"/>
              </w:rPr>
              <w:t>优秀</w:t>
            </w:r>
          </w:p>
        </w:tc>
        <w:tc>
          <w:tcPr>
            <w:tcW w:w="1260" w:type="dxa"/>
            <w:shd w:val="clear" w:color="auto" w:fill="auto"/>
            <w:vAlign w:val="center"/>
          </w:tcPr>
          <w:p>
            <w:pPr>
              <w:rPr>
                <w:szCs w:val="21"/>
              </w:rPr>
            </w:pPr>
            <w:r>
              <w:rPr>
                <w:rFonts w:hint="eastAsia"/>
                <w:szCs w:val="21"/>
              </w:rPr>
              <w:t>90--100分</w:t>
            </w:r>
          </w:p>
        </w:tc>
        <w:tc>
          <w:tcPr>
            <w:tcW w:w="5781" w:type="dxa"/>
            <w:shd w:val="clear" w:color="auto" w:fill="auto"/>
            <w:vAlign w:val="center"/>
          </w:tcPr>
          <w:p>
            <w:pPr>
              <w:rPr>
                <w:szCs w:val="21"/>
              </w:rPr>
            </w:pPr>
            <w:r>
              <w:rPr>
                <w:szCs w:val="21"/>
              </w:rPr>
              <w:t>工作绩效始终超越职位常规标准要求，通常具有下列表现：在规定时间之前完成任务</w:t>
            </w:r>
            <w:r>
              <w:rPr>
                <w:rFonts w:hint="eastAsia"/>
                <w:szCs w:val="21"/>
              </w:rPr>
              <w:t>；</w:t>
            </w:r>
            <w:r>
              <w:rPr>
                <w:szCs w:val="21"/>
              </w:rPr>
              <w:t>完成任务的数量、质量等明显超出规定的标准</w:t>
            </w:r>
            <w:r>
              <w:rPr>
                <w:rFonts w:hint="eastAsia"/>
                <w:szCs w:val="21"/>
              </w:rPr>
              <w:t>；</w:t>
            </w:r>
            <w:r>
              <w:rPr>
                <w:szCs w:val="21"/>
              </w:rPr>
              <w:t>得到各级领导及同事的高度评价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shd w:val="clear" w:color="auto" w:fill="auto"/>
            <w:vAlign w:val="center"/>
          </w:tcPr>
          <w:p>
            <w:pPr>
              <w:rPr>
                <w:szCs w:val="21"/>
              </w:rPr>
            </w:pPr>
            <w:r>
              <w:rPr>
                <w:szCs w:val="21"/>
              </w:rPr>
              <w:t>A</w:t>
            </w:r>
          </w:p>
        </w:tc>
        <w:tc>
          <w:tcPr>
            <w:tcW w:w="900" w:type="dxa"/>
            <w:shd w:val="clear" w:color="auto" w:fill="auto"/>
            <w:vAlign w:val="center"/>
          </w:tcPr>
          <w:p>
            <w:pPr>
              <w:rPr>
                <w:szCs w:val="21"/>
              </w:rPr>
            </w:pPr>
            <w:r>
              <w:rPr>
                <w:szCs w:val="21"/>
              </w:rPr>
              <w:t>良好</w:t>
            </w:r>
          </w:p>
        </w:tc>
        <w:tc>
          <w:tcPr>
            <w:tcW w:w="1260" w:type="dxa"/>
            <w:shd w:val="clear" w:color="auto" w:fill="auto"/>
            <w:vAlign w:val="center"/>
          </w:tcPr>
          <w:p>
            <w:pPr>
              <w:rPr>
                <w:szCs w:val="21"/>
              </w:rPr>
            </w:pPr>
            <w:r>
              <w:rPr>
                <w:rFonts w:hint="eastAsia"/>
                <w:szCs w:val="21"/>
              </w:rPr>
              <w:t>80--89</w:t>
            </w:r>
            <w:r>
              <w:rPr>
                <w:szCs w:val="21"/>
              </w:rPr>
              <w:t>分</w:t>
            </w:r>
          </w:p>
        </w:tc>
        <w:tc>
          <w:tcPr>
            <w:tcW w:w="5781" w:type="dxa"/>
            <w:shd w:val="clear" w:color="auto" w:fill="auto"/>
            <w:vAlign w:val="center"/>
          </w:tcPr>
          <w:p>
            <w:pPr>
              <w:rPr>
                <w:szCs w:val="21"/>
              </w:rPr>
            </w:pPr>
            <w:r>
              <w:rPr>
                <w:szCs w:val="21"/>
              </w:rPr>
              <w:t>工作绩效经常超出职位常规标准要求，通常具有下列表现：严格按照规定时间要求完成任务并经常提前完成任务</w:t>
            </w:r>
            <w:r>
              <w:rPr>
                <w:rFonts w:hint="eastAsia"/>
                <w:szCs w:val="21"/>
              </w:rPr>
              <w:t>；</w:t>
            </w:r>
            <w:r>
              <w:rPr>
                <w:szCs w:val="21"/>
              </w:rPr>
              <w:t>经常在完成任务的数量、质量上超出规定的标准</w:t>
            </w:r>
            <w:r>
              <w:rPr>
                <w:rFonts w:hint="eastAsia"/>
                <w:szCs w:val="21"/>
              </w:rPr>
              <w:t>；</w:t>
            </w:r>
            <w:r>
              <w:rPr>
                <w:szCs w:val="21"/>
              </w:rPr>
              <w:t>得到各级领导及同事的好评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shd w:val="clear" w:color="auto" w:fill="auto"/>
            <w:vAlign w:val="center"/>
          </w:tcPr>
          <w:p>
            <w:pPr>
              <w:rPr>
                <w:szCs w:val="21"/>
              </w:rPr>
            </w:pPr>
            <w:r>
              <w:rPr>
                <w:szCs w:val="21"/>
              </w:rPr>
              <w:t>B</w:t>
            </w:r>
          </w:p>
        </w:tc>
        <w:tc>
          <w:tcPr>
            <w:tcW w:w="900" w:type="dxa"/>
            <w:shd w:val="clear" w:color="auto" w:fill="auto"/>
            <w:vAlign w:val="center"/>
          </w:tcPr>
          <w:p>
            <w:pPr>
              <w:rPr>
                <w:szCs w:val="21"/>
              </w:rPr>
            </w:pPr>
            <w:r>
              <w:rPr>
                <w:szCs w:val="21"/>
              </w:rPr>
              <w:t>尚可</w:t>
            </w:r>
          </w:p>
        </w:tc>
        <w:tc>
          <w:tcPr>
            <w:tcW w:w="1260" w:type="dxa"/>
            <w:shd w:val="clear" w:color="auto" w:fill="auto"/>
            <w:vAlign w:val="center"/>
          </w:tcPr>
          <w:p>
            <w:pPr>
              <w:rPr>
                <w:szCs w:val="21"/>
              </w:rPr>
            </w:pPr>
            <w:r>
              <w:rPr>
                <w:rFonts w:hint="eastAsia"/>
                <w:szCs w:val="21"/>
              </w:rPr>
              <w:t>70--79</w:t>
            </w:r>
            <w:r>
              <w:rPr>
                <w:szCs w:val="21"/>
              </w:rPr>
              <w:t>分</w:t>
            </w:r>
          </w:p>
        </w:tc>
        <w:tc>
          <w:tcPr>
            <w:tcW w:w="5781" w:type="dxa"/>
            <w:shd w:val="clear" w:color="auto" w:fill="auto"/>
            <w:vAlign w:val="center"/>
          </w:tcPr>
          <w:p>
            <w:pPr>
              <w:rPr>
                <w:szCs w:val="21"/>
              </w:rPr>
            </w:pPr>
            <w:r>
              <w:rPr>
                <w:szCs w:val="21"/>
              </w:rPr>
              <w:t>工作绩效经常基本保持或偶尔超出职位常规标准要求，通常具有下列表现：基本上达到时间、数量、质量等工作标准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shd w:val="clear" w:color="auto" w:fill="auto"/>
            <w:vAlign w:val="center"/>
          </w:tcPr>
          <w:p>
            <w:pPr>
              <w:rPr>
                <w:szCs w:val="21"/>
              </w:rPr>
            </w:pPr>
            <w:r>
              <w:rPr>
                <w:szCs w:val="21"/>
              </w:rPr>
              <w:t>C</w:t>
            </w:r>
          </w:p>
        </w:tc>
        <w:tc>
          <w:tcPr>
            <w:tcW w:w="900" w:type="dxa"/>
            <w:shd w:val="clear" w:color="auto" w:fill="auto"/>
            <w:vAlign w:val="center"/>
          </w:tcPr>
          <w:p>
            <w:pPr>
              <w:rPr>
                <w:szCs w:val="21"/>
              </w:rPr>
            </w:pPr>
            <w:r>
              <w:rPr>
                <w:szCs w:val="21"/>
              </w:rPr>
              <w:t>需改进</w:t>
            </w:r>
          </w:p>
        </w:tc>
        <w:tc>
          <w:tcPr>
            <w:tcW w:w="1260" w:type="dxa"/>
            <w:shd w:val="clear" w:color="auto" w:fill="auto"/>
            <w:vAlign w:val="center"/>
          </w:tcPr>
          <w:p>
            <w:pPr>
              <w:rPr>
                <w:szCs w:val="21"/>
              </w:rPr>
            </w:pPr>
            <w:r>
              <w:rPr>
                <w:rFonts w:hint="eastAsia"/>
                <w:szCs w:val="21"/>
              </w:rPr>
              <w:t>60--69</w:t>
            </w:r>
            <w:r>
              <w:rPr>
                <w:szCs w:val="21"/>
              </w:rPr>
              <w:t>分</w:t>
            </w:r>
          </w:p>
        </w:tc>
        <w:tc>
          <w:tcPr>
            <w:tcW w:w="5781" w:type="dxa"/>
            <w:shd w:val="clear" w:color="auto" w:fill="auto"/>
            <w:vAlign w:val="center"/>
          </w:tcPr>
          <w:p>
            <w:pPr>
              <w:rPr>
                <w:szCs w:val="21"/>
              </w:rPr>
            </w:pPr>
            <w:r>
              <w:rPr>
                <w:szCs w:val="21"/>
              </w:rPr>
              <w:t>工作绩效基本维持或偶尔未达到职位常规标准要求，通常具有下列表现：偶尔有小的疏漏</w:t>
            </w:r>
            <w:r>
              <w:rPr>
                <w:rFonts w:hint="eastAsia"/>
                <w:szCs w:val="21"/>
              </w:rPr>
              <w:t>；</w:t>
            </w:r>
            <w:r>
              <w:rPr>
                <w:szCs w:val="21"/>
              </w:rPr>
              <w:t>有时在时间、数量、质量上达不到规定的工作标准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shd w:val="clear" w:color="auto" w:fill="auto"/>
            <w:vAlign w:val="center"/>
          </w:tcPr>
          <w:p>
            <w:pPr>
              <w:rPr>
                <w:szCs w:val="21"/>
              </w:rPr>
            </w:pPr>
            <w:r>
              <w:rPr>
                <w:szCs w:val="21"/>
              </w:rPr>
              <w:t>D</w:t>
            </w:r>
          </w:p>
        </w:tc>
        <w:tc>
          <w:tcPr>
            <w:tcW w:w="900" w:type="dxa"/>
            <w:shd w:val="clear" w:color="auto" w:fill="auto"/>
            <w:vAlign w:val="center"/>
          </w:tcPr>
          <w:p>
            <w:pPr>
              <w:rPr>
                <w:szCs w:val="21"/>
              </w:rPr>
            </w:pPr>
            <w:r>
              <w:rPr>
                <w:szCs w:val="21"/>
              </w:rPr>
              <w:t>不称职</w:t>
            </w:r>
          </w:p>
        </w:tc>
        <w:tc>
          <w:tcPr>
            <w:tcW w:w="1260" w:type="dxa"/>
            <w:shd w:val="clear" w:color="auto" w:fill="auto"/>
            <w:vAlign w:val="center"/>
          </w:tcPr>
          <w:p>
            <w:pPr>
              <w:rPr>
                <w:szCs w:val="21"/>
              </w:rPr>
            </w:pPr>
            <w:r>
              <w:rPr>
                <w:rFonts w:hint="eastAsia"/>
                <w:szCs w:val="21"/>
              </w:rPr>
              <w:t>60</w:t>
            </w:r>
            <w:r>
              <w:rPr>
                <w:szCs w:val="21"/>
              </w:rPr>
              <w:t>分</w:t>
            </w:r>
          </w:p>
          <w:p>
            <w:pPr>
              <w:rPr>
                <w:szCs w:val="21"/>
              </w:rPr>
            </w:pPr>
            <w:r>
              <w:rPr>
                <w:szCs w:val="21"/>
              </w:rPr>
              <w:t>（不含）以下</w:t>
            </w:r>
          </w:p>
        </w:tc>
        <w:tc>
          <w:tcPr>
            <w:tcW w:w="5781" w:type="dxa"/>
            <w:shd w:val="clear" w:color="auto" w:fill="auto"/>
            <w:vAlign w:val="center"/>
          </w:tcPr>
          <w:p>
            <w:pPr>
              <w:rPr>
                <w:szCs w:val="21"/>
              </w:rPr>
            </w:pPr>
            <w:r>
              <w:rPr>
                <w:szCs w:val="21"/>
              </w:rPr>
              <w:t>工作绩效显著低于职位常规工作标准的要求，通常具有下列表现：工作中出现重大疏漏或失误</w:t>
            </w:r>
            <w:r>
              <w:rPr>
                <w:rFonts w:hint="eastAsia"/>
                <w:szCs w:val="21"/>
              </w:rPr>
              <w:t>；</w:t>
            </w:r>
            <w:r>
              <w:rPr>
                <w:szCs w:val="21"/>
              </w:rPr>
              <w:t>或在时间、数量、质量上达不到规定的工作标准</w:t>
            </w:r>
          </w:p>
        </w:tc>
      </w:tr>
    </w:tbl>
    <w:p>
      <w:pPr>
        <w:rPr>
          <w:b/>
          <w:szCs w:val="21"/>
        </w:rPr>
      </w:pPr>
      <w:r>
        <w:rPr>
          <w:rFonts w:hint="eastAsia"/>
          <w:b/>
          <w:szCs w:val="21"/>
        </w:rPr>
        <w:t>九</w:t>
      </w:r>
      <w:r>
        <w:rPr>
          <w:b/>
          <w:szCs w:val="21"/>
        </w:rPr>
        <w:t>、结果应用</w:t>
      </w:r>
    </w:p>
    <w:p>
      <w:pPr>
        <w:rPr>
          <w:szCs w:val="21"/>
        </w:rPr>
      </w:pPr>
      <w:r>
        <w:rPr>
          <w:rFonts w:hint="eastAsia"/>
          <w:szCs w:val="21"/>
        </w:rPr>
        <w:t>（一）</w:t>
      </w:r>
      <w:r>
        <w:rPr>
          <w:szCs w:val="21"/>
        </w:rPr>
        <w:t>作为绩效改进计划与培训计划的主要依据</w:t>
      </w:r>
    </w:p>
    <w:p>
      <w:pPr>
        <w:rPr>
          <w:szCs w:val="21"/>
        </w:rPr>
      </w:pPr>
      <w:r>
        <w:rPr>
          <w:szCs w:val="21"/>
        </w:rPr>
        <w:t>各级评估者和被评估者应及时分析评估中部分项目未达到绩效标准的原因，并制</w:t>
      </w:r>
      <w:r>
        <w:rPr>
          <w:rFonts w:hint="eastAsia"/>
          <w:szCs w:val="21"/>
        </w:rPr>
        <w:t>订</w:t>
      </w:r>
      <w:r>
        <w:rPr>
          <w:szCs w:val="21"/>
        </w:rPr>
        <w:t>相应的改进措施计划。评估者有责任为被评估者实施绩效改进计划提供指导、帮助以及必要的培训，并予以跟踪</w:t>
      </w:r>
      <w:r>
        <w:rPr>
          <w:rFonts w:hint="eastAsia"/>
          <w:szCs w:val="21"/>
        </w:rPr>
        <w:t>、</w:t>
      </w:r>
      <w:r>
        <w:rPr>
          <w:szCs w:val="21"/>
        </w:rPr>
        <w:t>检查改进效果。</w:t>
      </w:r>
    </w:p>
    <w:p>
      <w:pPr>
        <w:rPr>
          <w:szCs w:val="21"/>
        </w:rPr>
      </w:pPr>
      <w:r>
        <w:rPr>
          <w:rFonts w:hint="eastAsia"/>
          <w:szCs w:val="21"/>
        </w:rPr>
        <w:t>（二）</w:t>
      </w:r>
      <w:r>
        <w:rPr>
          <w:szCs w:val="21"/>
        </w:rPr>
        <w:t>与薪酬制度接轨，作为薪酬调整和奖金分配的直接依据</w:t>
      </w:r>
    </w:p>
    <w:p>
      <w:pPr>
        <w:rPr>
          <w:szCs w:val="21"/>
        </w:rPr>
      </w:pPr>
      <w:r>
        <w:rPr>
          <w:szCs w:val="21"/>
        </w:rPr>
        <w:t>依据绩效评估结果，依照一定的程序和方法，改变岗位薪资等级，从而激励员工在做好本职工作的基础上，更好</w:t>
      </w:r>
      <w:r>
        <w:rPr>
          <w:rFonts w:hint="eastAsia"/>
          <w:szCs w:val="21"/>
        </w:rPr>
        <w:t>地</w:t>
      </w:r>
      <w:r>
        <w:rPr>
          <w:szCs w:val="21"/>
        </w:rPr>
        <w:t>发挥积极性、主动性、创造性。</w:t>
      </w:r>
    </w:p>
    <w:p>
      <w:pPr>
        <w:rPr>
          <w:szCs w:val="21"/>
        </w:rPr>
      </w:pPr>
      <w:r>
        <w:rPr>
          <w:rFonts w:hint="eastAsia"/>
          <w:szCs w:val="21"/>
        </w:rPr>
        <w:t>（三）</w:t>
      </w:r>
      <w:r>
        <w:rPr>
          <w:szCs w:val="21"/>
        </w:rPr>
        <w:t>作为职位等级晋升、降级和岗位调整的依据</w:t>
      </w:r>
    </w:p>
    <w:p>
      <w:pPr>
        <w:rPr>
          <w:szCs w:val="21"/>
        </w:rPr>
      </w:pPr>
      <w:r>
        <w:rPr>
          <w:rFonts w:hint="eastAsia"/>
          <w:szCs w:val="21"/>
        </w:rPr>
        <w:t xml:space="preserve">① </w:t>
      </w:r>
      <w:r>
        <w:rPr>
          <w:szCs w:val="21"/>
        </w:rPr>
        <w:t>一年中全部成绩在“A”或以上，且至少五个月考核结果为“S”的员工，具有晋升</w:t>
      </w:r>
      <w:r>
        <w:rPr>
          <w:rFonts w:hint="eastAsia"/>
          <w:szCs w:val="21"/>
        </w:rPr>
        <w:t>或涨薪</w:t>
      </w:r>
      <w:r>
        <w:rPr>
          <w:szCs w:val="21"/>
        </w:rPr>
        <w:t>资格。</w:t>
      </w:r>
    </w:p>
    <w:p>
      <w:pPr>
        <w:rPr>
          <w:szCs w:val="21"/>
        </w:rPr>
      </w:pPr>
      <w:r>
        <w:rPr>
          <w:rFonts w:hint="eastAsia"/>
          <w:szCs w:val="21"/>
        </w:rPr>
        <w:t xml:space="preserve">② </w:t>
      </w:r>
      <w:r>
        <w:rPr>
          <w:szCs w:val="21"/>
        </w:rPr>
        <w:t>对于连续两个月绩效评估结果为“D”的基层管理人员及一般员工，除按制度规定降低其工资等级外，还酌情予以调离原工作岗位，参加行政人资部门组织的脱岗培训，经培训考核合格后方可重新上岗，否则予以辞退。半年内出现3次“D”的员工，做辞退处理。</w:t>
      </w:r>
    </w:p>
    <w:p>
      <w:pPr>
        <w:rPr>
          <w:szCs w:val="21"/>
        </w:rPr>
      </w:pPr>
      <w:r>
        <w:rPr>
          <w:rFonts w:hint="eastAsia"/>
          <w:szCs w:val="21"/>
        </w:rPr>
        <w:t xml:space="preserve">③ </w:t>
      </w:r>
      <w:r>
        <w:rPr>
          <w:szCs w:val="21"/>
        </w:rPr>
        <w:t>对于年度或半年度绩效评估结果为“D”的考核者，除按制度规定降低其工资等级外，还应在对其综合能力进行全面评估的基础上，向公司提出免职或降职处理</w:t>
      </w:r>
      <w:r>
        <w:rPr>
          <w:rFonts w:hint="eastAsia"/>
          <w:szCs w:val="21"/>
        </w:rPr>
        <w:t>的</w:t>
      </w:r>
      <w:r>
        <w:rPr>
          <w:szCs w:val="21"/>
        </w:rPr>
        <w:t>建议。</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jc w:val="center"/>
        <w:rPr>
          <w:b/>
          <w:szCs w:val="21"/>
        </w:rPr>
      </w:pPr>
      <w:r>
        <w:rPr>
          <w:rFonts w:hint="eastAsia"/>
          <w:b/>
          <w:szCs w:val="21"/>
        </w:rPr>
        <w:t>考核表1</w:t>
      </w:r>
    </w:p>
    <w:tbl>
      <w:tblPr>
        <w:tblStyle w:val="5"/>
        <w:tblW w:w="10632"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51"/>
        <w:gridCol w:w="376"/>
        <w:gridCol w:w="4585"/>
        <w:gridCol w:w="567"/>
        <w:gridCol w:w="709"/>
        <w:gridCol w:w="846"/>
        <w:gridCol w:w="321"/>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trPr>
        <w:tc>
          <w:tcPr>
            <w:tcW w:w="3070" w:type="dxa"/>
            <w:gridSpan w:val="3"/>
          </w:tcPr>
          <w:p>
            <w:pPr>
              <w:jc w:val="center"/>
              <w:rPr>
                <w:b/>
                <w:bCs/>
                <w:sz w:val="18"/>
                <w:szCs w:val="18"/>
              </w:rPr>
            </w:pPr>
            <w:r>
              <w:rPr>
                <w:rFonts w:hint="eastAsia"/>
                <w:b/>
                <w:bCs/>
                <w:sz w:val="18"/>
                <w:szCs w:val="18"/>
              </w:rPr>
              <w:t>绩效考核目的</w:t>
            </w:r>
          </w:p>
        </w:tc>
        <w:tc>
          <w:tcPr>
            <w:tcW w:w="7562" w:type="dxa"/>
            <w:gridSpan w:val="6"/>
          </w:tcPr>
          <w:p>
            <w:pPr>
              <w:jc w:val="center"/>
              <w:rPr>
                <w:b/>
                <w:bCs/>
                <w:sz w:val="18"/>
                <w:szCs w:val="18"/>
              </w:rPr>
            </w:pPr>
            <w:r>
              <w:rPr>
                <w:rFonts w:hint="eastAsia"/>
                <w:b/>
                <w:bCs/>
                <w:sz w:val="18"/>
                <w:szCs w:val="18"/>
              </w:rPr>
              <w:t>建立以岗位竞争的绩效考评机制，充分调动全体员工的积极性和创造性，实现公司战略发展总目标。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3070" w:type="dxa"/>
            <w:gridSpan w:val="3"/>
          </w:tcPr>
          <w:p>
            <w:pPr>
              <w:jc w:val="center"/>
              <w:rPr>
                <w:b/>
                <w:bCs/>
                <w:sz w:val="18"/>
                <w:szCs w:val="18"/>
              </w:rPr>
            </w:pPr>
            <w:r>
              <w:rPr>
                <w:rFonts w:hint="eastAsia"/>
                <w:b/>
                <w:bCs/>
                <w:sz w:val="18"/>
                <w:szCs w:val="18"/>
              </w:rPr>
              <w:t>绩效考核阶段</w:t>
            </w:r>
          </w:p>
        </w:tc>
        <w:tc>
          <w:tcPr>
            <w:tcW w:w="7562" w:type="dxa"/>
            <w:gridSpan w:val="6"/>
          </w:tcPr>
          <w:p>
            <w:pPr>
              <w:jc w:val="center"/>
              <w:rPr>
                <w:b/>
                <w:bCs/>
                <w:sz w:val="18"/>
                <w:szCs w:val="18"/>
              </w:rPr>
            </w:pPr>
            <w:r>
              <w:rPr>
                <w:rFonts w:hint="eastAsia"/>
                <w:b/>
                <w:bCs/>
                <w:sz w:val="18"/>
                <w:szCs w:val="18"/>
              </w:rPr>
              <w:t>□月度考核    □季度考核     □年中考核     □年终考核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0" w:type="dxa"/>
            <w:gridSpan w:val="3"/>
          </w:tcPr>
          <w:p>
            <w:pPr>
              <w:jc w:val="center"/>
              <w:rPr>
                <w:b/>
                <w:bCs/>
                <w:sz w:val="18"/>
                <w:szCs w:val="18"/>
              </w:rPr>
            </w:pPr>
            <w:r>
              <w:rPr>
                <w:rFonts w:hint="eastAsia"/>
                <w:b/>
                <w:bCs/>
                <w:sz w:val="18"/>
                <w:szCs w:val="18"/>
              </w:rPr>
              <w:t>绩效考核部门</w:t>
            </w:r>
          </w:p>
        </w:tc>
        <w:tc>
          <w:tcPr>
            <w:tcW w:w="7562" w:type="dxa"/>
            <w:gridSpan w:val="6"/>
          </w:tcPr>
          <w:p>
            <w:pPr>
              <w:jc w:val="center"/>
              <w:rPr>
                <w:b/>
                <w:bCs/>
                <w:sz w:val="18"/>
                <w:szCs w:val="18"/>
              </w:rPr>
            </w:pPr>
            <w:r>
              <w:rPr>
                <w:rFonts w:hint="eastAsia"/>
                <w:b/>
                <w:bCs/>
                <w:sz w:val="18"/>
                <w:szCs w:val="18"/>
              </w:rPr>
              <w:t>江苏海骏广告设计部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0" w:type="dxa"/>
            <w:gridSpan w:val="3"/>
          </w:tcPr>
          <w:p>
            <w:pPr>
              <w:jc w:val="center"/>
              <w:rPr>
                <w:b/>
                <w:bCs/>
                <w:sz w:val="18"/>
                <w:szCs w:val="18"/>
              </w:rPr>
            </w:pPr>
            <w:r>
              <w:rPr>
                <w:rFonts w:hint="eastAsia"/>
                <w:b/>
                <w:bCs/>
                <w:sz w:val="18"/>
                <w:szCs w:val="18"/>
              </w:rPr>
              <w:t>绩效考核项目</w:t>
            </w:r>
          </w:p>
        </w:tc>
        <w:tc>
          <w:tcPr>
            <w:tcW w:w="7562" w:type="dxa"/>
            <w:gridSpan w:val="6"/>
          </w:tcPr>
          <w:p>
            <w:pPr>
              <w:jc w:val="center"/>
              <w:rPr>
                <w:b/>
                <w:bCs/>
                <w:sz w:val="18"/>
                <w:szCs w:val="18"/>
              </w:rPr>
            </w:pPr>
            <w:r>
              <w:rPr>
                <w:rFonts w:hint="eastAsia"/>
                <w:b/>
                <w:bCs/>
                <w:sz w:val="18"/>
                <w:szCs w:val="18"/>
              </w:rPr>
              <w:t>以业绩指标、日常行为表现、综合能力等作为考评依据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0" w:type="dxa"/>
            <w:gridSpan w:val="3"/>
          </w:tcPr>
          <w:p>
            <w:pPr>
              <w:jc w:val="center"/>
              <w:rPr>
                <w:b/>
                <w:bCs/>
                <w:sz w:val="18"/>
                <w:szCs w:val="18"/>
              </w:rPr>
            </w:pPr>
            <w:r>
              <w:rPr>
                <w:rFonts w:hint="eastAsia"/>
                <w:b/>
                <w:bCs/>
                <w:sz w:val="18"/>
                <w:szCs w:val="18"/>
              </w:rPr>
              <w:t>绩效考核原则</w:t>
            </w:r>
          </w:p>
        </w:tc>
        <w:tc>
          <w:tcPr>
            <w:tcW w:w="7562" w:type="dxa"/>
            <w:gridSpan w:val="6"/>
          </w:tcPr>
          <w:p>
            <w:pPr>
              <w:jc w:val="center"/>
              <w:rPr>
                <w:b/>
                <w:bCs/>
                <w:sz w:val="18"/>
                <w:szCs w:val="18"/>
              </w:rPr>
            </w:pPr>
            <w:r>
              <w:rPr>
                <w:rFonts w:hint="eastAsia"/>
                <w:b/>
                <w:bCs/>
                <w:sz w:val="18"/>
                <w:szCs w:val="18"/>
              </w:rPr>
              <w:t>公平、公正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0" w:type="dxa"/>
            <w:gridSpan w:val="3"/>
          </w:tcPr>
          <w:p>
            <w:pPr>
              <w:jc w:val="center"/>
              <w:rPr>
                <w:b/>
                <w:bCs/>
                <w:sz w:val="18"/>
                <w:szCs w:val="18"/>
              </w:rPr>
            </w:pPr>
            <w:r>
              <w:rPr>
                <w:rFonts w:hint="eastAsia"/>
                <w:b/>
                <w:bCs/>
                <w:sz w:val="18"/>
                <w:szCs w:val="18"/>
              </w:rPr>
              <w:t>绩效考核方法</w:t>
            </w:r>
          </w:p>
        </w:tc>
        <w:tc>
          <w:tcPr>
            <w:tcW w:w="7562" w:type="dxa"/>
            <w:gridSpan w:val="6"/>
          </w:tcPr>
          <w:p>
            <w:pPr>
              <w:jc w:val="center"/>
              <w:rPr>
                <w:b/>
                <w:bCs/>
                <w:sz w:val="18"/>
                <w:szCs w:val="18"/>
              </w:rPr>
            </w:pPr>
            <w:r>
              <w:rPr>
                <w:b/>
                <w:sz w:val="18"/>
                <w:szCs w:val="18"/>
              </w:rPr>
              <w:t>KPI</w:t>
            </w:r>
            <w:r>
              <w:rPr>
                <w:rFonts w:hint="eastAsia"/>
                <w:b/>
                <w:sz w:val="18"/>
                <w:szCs w:val="18"/>
              </w:rPr>
              <w:t>与</w:t>
            </w:r>
            <w:r>
              <w:rPr>
                <w:b/>
                <w:sz w:val="18"/>
                <w:szCs w:val="18"/>
              </w:rPr>
              <w:t>360度</w:t>
            </w:r>
            <w:r>
              <w:rPr>
                <w:rFonts w:hint="eastAsia"/>
                <w:b/>
                <w:sz w:val="18"/>
                <w:szCs w:val="18"/>
              </w:rPr>
              <w:t>相结合</w:t>
            </w:r>
            <w:r>
              <w:rPr>
                <w:b/>
                <w:sz w:val="18"/>
                <w:szCs w:val="18"/>
              </w:rPr>
              <w:t>考核</w:t>
            </w:r>
            <w:r>
              <w:rPr>
                <w:rFonts w:hint="eastAsia"/>
                <w:b/>
                <w:sz w:val="18"/>
                <w:szCs w:val="18"/>
              </w:rPr>
              <w:t>法（满分100）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0" w:type="dxa"/>
            <w:gridSpan w:val="3"/>
          </w:tcPr>
          <w:p>
            <w:pPr>
              <w:jc w:val="center"/>
              <w:rPr>
                <w:b/>
                <w:bCs/>
                <w:sz w:val="18"/>
                <w:szCs w:val="18"/>
              </w:rPr>
            </w:pPr>
            <w:r>
              <w:rPr>
                <w:rFonts w:hint="eastAsia"/>
                <w:b/>
                <w:bCs/>
                <w:sz w:val="18"/>
                <w:szCs w:val="18"/>
              </w:rPr>
              <w:t>考核组织负责人</w:t>
            </w:r>
          </w:p>
        </w:tc>
        <w:tc>
          <w:tcPr>
            <w:tcW w:w="7562" w:type="dxa"/>
            <w:gridSpan w:val="6"/>
          </w:tcPr>
          <w:p>
            <w:pPr>
              <w:jc w:val="center"/>
              <w:rPr>
                <w:b/>
                <w:bCs/>
                <w:sz w:val="18"/>
                <w:szCs w:val="18"/>
              </w:rPr>
            </w:pPr>
            <w:r>
              <w:rPr>
                <w:rFonts w:hint="eastAsia"/>
                <w:b/>
                <w:bCs/>
                <w:sz w:val="18"/>
                <w:szCs w:val="18"/>
              </w:rPr>
              <w:t>部门主管、行政人资部。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trPr>
        <w:tc>
          <w:tcPr>
            <w:tcW w:w="1843" w:type="dxa"/>
          </w:tcPr>
          <w:p>
            <w:pPr>
              <w:jc w:val="center"/>
              <w:rPr>
                <w:b/>
                <w:bCs/>
                <w:sz w:val="18"/>
                <w:szCs w:val="18"/>
              </w:rPr>
            </w:pPr>
            <w:r>
              <w:rPr>
                <w:rFonts w:hint="eastAsia"/>
                <w:b/>
                <w:bCs/>
                <w:sz w:val="18"/>
                <w:szCs w:val="18"/>
              </w:rPr>
              <w:t>考核项目占比</w:t>
            </w:r>
          </w:p>
        </w:tc>
        <w:tc>
          <w:tcPr>
            <w:tcW w:w="5812" w:type="dxa"/>
            <w:gridSpan w:val="3"/>
          </w:tcPr>
          <w:p>
            <w:pPr>
              <w:jc w:val="center"/>
              <w:rPr>
                <w:b/>
                <w:bCs/>
                <w:sz w:val="18"/>
                <w:szCs w:val="18"/>
              </w:rPr>
            </w:pPr>
            <w:r>
              <w:rPr>
                <w:rFonts w:hint="eastAsia"/>
                <w:b/>
                <w:bCs/>
                <w:sz w:val="18"/>
                <w:szCs w:val="18"/>
              </w:rPr>
              <w:t>优秀（10分</w:t>
            </w:r>
            <w:r>
              <w:rPr>
                <w:b/>
                <w:bCs/>
                <w:sz w:val="18"/>
                <w:szCs w:val="18"/>
              </w:rPr>
              <w:t>）</w:t>
            </w:r>
            <w:r>
              <w:rPr>
                <w:rFonts w:hint="eastAsia"/>
                <w:b/>
                <w:bCs/>
                <w:sz w:val="18"/>
                <w:szCs w:val="18"/>
              </w:rPr>
              <w:t>好(8-9分)良好（6-7分）较差（4-5分）极差（1-2分）</w:t>
            </w:r>
          </w:p>
        </w:tc>
        <w:tc>
          <w:tcPr>
            <w:tcW w:w="567" w:type="dxa"/>
          </w:tcPr>
          <w:p>
            <w:pPr>
              <w:jc w:val="center"/>
              <w:rPr>
                <w:b/>
                <w:bCs/>
                <w:sz w:val="18"/>
                <w:szCs w:val="18"/>
              </w:rPr>
            </w:pPr>
            <w:r>
              <w:rPr>
                <w:rFonts w:hint="eastAsia"/>
                <w:b/>
                <w:bCs/>
                <w:sz w:val="18"/>
                <w:szCs w:val="18"/>
              </w:rPr>
              <w:t>自评</w:t>
            </w:r>
          </w:p>
        </w:tc>
        <w:tc>
          <w:tcPr>
            <w:tcW w:w="709" w:type="dxa"/>
          </w:tcPr>
          <w:p>
            <w:pPr>
              <w:jc w:val="center"/>
              <w:rPr>
                <w:b/>
                <w:bCs/>
                <w:sz w:val="18"/>
                <w:szCs w:val="18"/>
              </w:rPr>
            </w:pPr>
            <w:r>
              <w:rPr>
                <w:rFonts w:hint="eastAsia"/>
                <w:b/>
                <w:bCs/>
                <w:sz w:val="18"/>
                <w:szCs w:val="18"/>
              </w:rPr>
              <w:t>主管评</w:t>
            </w:r>
          </w:p>
        </w:tc>
        <w:tc>
          <w:tcPr>
            <w:tcW w:w="846" w:type="dxa"/>
          </w:tcPr>
          <w:p>
            <w:pPr>
              <w:jc w:val="center"/>
              <w:rPr>
                <w:b/>
                <w:bCs/>
                <w:sz w:val="18"/>
                <w:szCs w:val="18"/>
              </w:rPr>
            </w:pPr>
          </w:p>
        </w:tc>
        <w:tc>
          <w:tcPr>
            <w:tcW w:w="855" w:type="dxa"/>
            <w:gridSpan w:val="2"/>
          </w:tcPr>
          <w:p>
            <w:pPr>
              <w:jc w:val="center"/>
              <w:rPr>
                <w:b/>
                <w:bCs/>
                <w:sz w:val="18"/>
                <w:szCs w:val="18"/>
              </w:rPr>
            </w:pPr>
            <w:r>
              <w:rPr>
                <w:rFonts w:hint="eastAsia"/>
                <w:b/>
                <w:bCs/>
                <w:sz w:val="18"/>
                <w:szCs w:val="18"/>
              </w:rPr>
              <w:t>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trPr>
        <w:tc>
          <w:tcPr>
            <w:tcW w:w="1843" w:type="dxa"/>
            <w:vMerge w:val="restart"/>
          </w:tcPr>
          <w:p>
            <w:pPr>
              <w:jc w:val="center"/>
              <w:rPr>
                <w:b/>
                <w:bCs/>
                <w:sz w:val="18"/>
                <w:szCs w:val="18"/>
              </w:rPr>
            </w:pPr>
          </w:p>
          <w:p>
            <w:pPr>
              <w:jc w:val="center"/>
              <w:rPr>
                <w:sz w:val="18"/>
                <w:szCs w:val="18"/>
              </w:rPr>
            </w:pPr>
          </w:p>
          <w:p>
            <w:pPr>
              <w:jc w:val="center"/>
              <w:rPr>
                <w:sz w:val="18"/>
                <w:szCs w:val="18"/>
              </w:rPr>
            </w:pPr>
            <w:r>
              <w:rPr>
                <w:rFonts w:hint="eastAsia"/>
                <w:b/>
                <w:bCs/>
                <w:sz w:val="18"/>
                <w:szCs w:val="18"/>
              </w:rPr>
              <w:t>Ⅰ、个人工作任务及效率（60%）</w:t>
            </w:r>
          </w:p>
        </w:tc>
        <w:tc>
          <w:tcPr>
            <w:tcW w:w="5812" w:type="dxa"/>
            <w:gridSpan w:val="3"/>
          </w:tcPr>
          <w:p>
            <w:pPr>
              <w:jc w:val="center"/>
              <w:rPr>
                <w:b/>
                <w:bCs/>
                <w:sz w:val="18"/>
                <w:szCs w:val="18"/>
              </w:rPr>
            </w:pPr>
            <w:r>
              <w:rPr>
                <w:rFonts w:hint="eastAsia"/>
                <w:bCs/>
                <w:sz w:val="18"/>
                <w:szCs w:val="18"/>
              </w:rPr>
              <w:t>能出色完成个人工作任务，工作效率高，并且自发性工作多</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321" w:type="dxa"/>
            <w:vMerge w:val="restart"/>
            <w:tcBorders>
              <w:right w:val="nil"/>
            </w:tcBorders>
          </w:tcPr>
          <w:p>
            <w:pPr>
              <w:jc w:val="center"/>
              <w:rPr>
                <w:b/>
                <w:bCs/>
                <w:sz w:val="18"/>
                <w:szCs w:val="18"/>
              </w:rPr>
            </w:pPr>
          </w:p>
        </w:tc>
        <w:tc>
          <w:tcPr>
            <w:tcW w:w="534" w:type="dxa"/>
            <w:vMerge w:val="restart"/>
            <w:tcBorders>
              <w:top w:val="nil"/>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1843" w:type="dxa"/>
            <w:vMerge w:val="continue"/>
          </w:tcPr>
          <w:p>
            <w:pPr>
              <w:jc w:val="center"/>
              <w:rPr>
                <w:b/>
                <w:bCs/>
                <w:sz w:val="18"/>
                <w:szCs w:val="18"/>
              </w:rPr>
            </w:pPr>
          </w:p>
        </w:tc>
        <w:tc>
          <w:tcPr>
            <w:tcW w:w="5812" w:type="dxa"/>
            <w:gridSpan w:val="3"/>
          </w:tcPr>
          <w:p>
            <w:pPr>
              <w:jc w:val="center"/>
              <w:rPr>
                <w:b/>
                <w:bCs/>
                <w:sz w:val="18"/>
                <w:szCs w:val="18"/>
              </w:rPr>
            </w:pPr>
            <w:r>
              <w:rPr>
                <w:rFonts w:hint="eastAsia"/>
                <w:bCs/>
                <w:sz w:val="18"/>
                <w:szCs w:val="18"/>
              </w:rPr>
              <w:t>能胜任个人工作，效率较高。</w:t>
            </w:r>
          </w:p>
        </w:tc>
        <w:tc>
          <w:tcPr>
            <w:tcW w:w="567" w:type="dxa"/>
            <w:tcBorders>
              <w:top w:val="single" w:color="auto" w:sz="4" w:space="0"/>
            </w:tcBorders>
          </w:tcPr>
          <w:p>
            <w:pPr>
              <w:jc w:val="center"/>
              <w:rPr>
                <w:b/>
                <w:bCs/>
                <w:sz w:val="18"/>
                <w:szCs w:val="18"/>
              </w:rPr>
            </w:pPr>
          </w:p>
        </w:tc>
        <w:tc>
          <w:tcPr>
            <w:tcW w:w="709" w:type="dxa"/>
            <w:tcBorders>
              <w:top w:val="single" w:color="auto" w:sz="4" w:space="0"/>
            </w:tcBorders>
          </w:tcPr>
          <w:p>
            <w:pPr>
              <w:jc w:val="center"/>
              <w:rPr>
                <w:b/>
                <w:bCs/>
                <w:sz w:val="18"/>
                <w:szCs w:val="18"/>
              </w:rPr>
            </w:pPr>
          </w:p>
        </w:tc>
        <w:tc>
          <w:tcPr>
            <w:tcW w:w="846" w:type="dxa"/>
            <w:tcBorders>
              <w:top w:val="single" w:color="auto" w:sz="4" w:space="0"/>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1843" w:type="dxa"/>
            <w:vMerge w:val="continue"/>
          </w:tcPr>
          <w:p>
            <w:pPr>
              <w:jc w:val="center"/>
              <w:rPr>
                <w:b/>
                <w:bCs/>
                <w:sz w:val="18"/>
                <w:szCs w:val="18"/>
              </w:rPr>
            </w:pPr>
          </w:p>
        </w:tc>
        <w:tc>
          <w:tcPr>
            <w:tcW w:w="5812" w:type="dxa"/>
            <w:gridSpan w:val="3"/>
          </w:tcPr>
          <w:p>
            <w:pPr>
              <w:jc w:val="center"/>
              <w:rPr>
                <w:b/>
                <w:bCs/>
                <w:sz w:val="18"/>
                <w:szCs w:val="18"/>
              </w:rPr>
            </w:pPr>
            <w:r>
              <w:rPr>
                <w:rFonts w:hint="eastAsia"/>
                <w:bCs/>
                <w:sz w:val="18"/>
                <w:szCs w:val="18"/>
              </w:rPr>
              <w:t>工作不误期，工作质量符合标准</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rPr>
        <w:tc>
          <w:tcPr>
            <w:tcW w:w="1843" w:type="dxa"/>
            <w:vMerge w:val="continue"/>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勉强胜任个人工作，无甚表现</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843" w:type="dxa"/>
            <w:vMerge w:val="continue"/>
            <w:tcBorders>
              <w:bottom w:val="single" w:color="auto" w:sz="4" w:space="0"/>
            </w:tcBorders>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工作效率低，时有差错</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right w:val="nil"/>
            </w:tcBorders>
          </w:tcPr>
          <w:p>
            <w:pPr>
              <w:jc w:val="center"/>
              <w:rPr>
                <w:b/>
                <w:bCs/>
                <w:sz w:val="18"/>
                <w:szCs w:val="18"/>
              </w:rPr>
            </w:pPr>
          </w:p>
        </w:tc>
        <w:tc>
          <w:tcPr>
            <w:tcW w:w="321" w:type="dxa"/>
            <w:vMerge w:val="continue"/>
            <w:tcBorders>
              <w:bottom w:val="single" w:color="auto" w:sz="4" w:space="0"/>
              <w:right w:val="nil"/>
            </w:tcBorders>
          </w:tcPr>
          <w:p>
            <w:pPr>
              <w:jc w:val="center"/>
              <w:rPr>
                <w:b/>
                <w:bCs/>
                <w:sz w:val="18"/>
                <w:szCs w:val="18"/>
              </w:rPr>
            </w:pPr>
          </w:p>
        </w:tc>
        <w:tc>
          <w:tcPr>
            <w:tcW w:w="534" w:type="dxa"/>
            <w:vMerge w:val="continue"/>
            <w:tcBorders>
              <w:left w:val="nil"/>
              <w:bottom w:val="single" w:color="auto" w:sz="4" w:space="0"/>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rPr>
        <w:tc>
          <w:tcPr>
            <w:tcW w:w="1843" w:type="dxa"/>
            <w:vMerge w:val="restart"/>
          </w:tcPr>
          <w:p>
            <w:pPr>
              <w:jc w:val="center"/>
              <w:rPr>
                <w:b/>
                <w:bCs/>
                <w:sz w:val="18"/>
                <w:szCs w:val="18"/>
              </w:rPr>
            </w:pPr>
          </w:p>
          <w:p>
            <w:pPr>
              <w:jc w:val="center"/>
              <w:rPr>
                <w:b/>
                <w:bCs/>
                <w:sz w:val="18"/>
                <w:szCs w:val="18"/>
              </w:rPr>
            </w:pPr>
          </w:p>
          <w:p>
            <w:pPr>
              <w:jc w:val="center"/>
              <w:rPr>
                <w:b/>
                <w:bCs/>
                <w:sz w:val="18"/>
                <w:szCs w:val="18"/>
              </w:rPr>
            </w:pPr>
          </w:p>
          <w:p>
            <w:pPr>
              <w:jc w:val="center"/>
              <w:rPr>
                <w:sz w:val="18"/>
                <w:szCs w:val="18"/>
              </w:rPr>
            </w:pPr>
          </w:p>
          <w:p>
            <w:pPr>
              <w:jc w:val="center"/>
              <w:rPr>
                <w:sz w:val="18"/>
                <w:szCs w:val="18"/>
              </w:rPr>
            </w:pPr>
          </w:p>
          <w:p>
            <w:pPr>
              <w:jc w:val="center"/>
              <w:rPr>
                <w:b/>
                <w:bCs/>
                <w:sz w:val="18"/>
                <w:szCs w:val="18"/>
              </w:rPr>
            </w:pPr>
            <w:r>
              <w:rPr>
                <w:rFonts w:hint="eastAsia"/>
                <w:b/>
                <w:bCs/>
                <w:sz w:val="18"/>
                <w:szCs w:val="18"/>
              </w:rPr>
              <w:t xml:space="preserve">Ⅱ、综合能力  </w:t>
            </w:r>
          </w:p>
          <w:p>
            <w:pPr>
              <w:jc w:val="center"/>
              <w:rPr>
                <w:sz w:val="18"/>
                <w:szCs w:val="18"/>
              </w:rPr>
            </w:pPr>
            <w:r>
              <w:rPr>
                <w:rFonts w:hint="eastAsia"/>
                <w:b/>
                <w:bCs/>
                <w:sz w:val="18"/>
                <w:szCs w:val="18"/>
              </w:rPr>
              <w:t>（30%）</w:t>
            </w:r>
          </w:p>
        </w:tc>
        <w:tc>
          <w:tcPr>
            <w:tcW w:w="851" w:type="dxa"/>
            <w:vMerge w:val="restart"/>
          </w:tcPr>
          <w:p>
            <w:pPr>
              <w:jc w:val="center"/>
              <w:rPr>
                <w:bCs/>
                <w:sz w:val="18"/>
                <w:szCs w:val="18"/>
              </w:rPr>
            </w:pPr>
          </w:p>
          <w:p>
            <w:pPr>
              <w:jc w:val="center"/>
              <w:rPr>
                <w:sz w:val="18"/>
                <w:szCs w:val="18"/>
              </w:rPr>
            </w:pPr>
          </w:p>
          <w:p>
            <w:pPr>
              <w:jc w:val="center"/>
              <w:rPr>
                <w:bCs/>
                <w:sz w:val="18"/>
                <w:szCs w:val="18"/>
              </w:rPr>
            </w:pPr>
            <w:r>
              <w:rPr>
                <w:rFonts w:hint="eastAsia"/>
                <w:bCs/>
                <w:sz w:val="18"/>
                <w:szCs w:val="18"/>
              </w:rPr>
              <w:t>工作技能</w:t>
            </w:r>
          </w:p>
          <w:p>
            <w:pPr>
              <w:jc w:val="center"/>
              <w:rPr>
                <w:sz w:val="18"/>
                <w:szCs w:val="18"/>
              </w:rPr>
            </w:pPr>
            <w:r>
              <w:rPr>
                <w:rFonts w:hint="eastAsia"/>
                <w:bCs/>
                <w:sz w:val="18"/>
                <w:szCs w:val="18"/>
              </w:rPr>
              <w:t>(10%)</w:t>
            </w:r>
          </w:p>
          <w:p>
            <w:pPr>
              <w:jc w:val="center"/>
              <w:rPr>
                <w:sz w:val="18"/>
                <w:szCs w:val="18"/>
              </w:rPr>
            </w:pPr>
          </w:p>
        </w:tc>
        <w:tc>
          <w:tcPr>
            <w:tcW w:w="4961" w:type="dxa"/>
            <w:gridSpan w:val="2"/>
          </w:tcPr>
          <w:p>
            <w:pPr>
              <w:jc w:val="center"/>
              <w:rPr>
                <w:bCs/>
                <w:sz w:val="18"/>
                <w:szCs w:val="18"/>
              </w:rPr>
            </w:pPr>
            <w:r>
              <w:rPr>
                <w:rFonts w:hint="eastAsia"/>
                <w:bCs/>
                <w:sz w:val="18"/>
                <w:szCs w:val="18"/>
              </w:rPr>
              <w:t>具有极丰富的专业技能，能充分完成本身职责</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321" w:type="dxa"/>
            <w:vMerge w:val="restart"/>
            <w:tcBorders>
              <w:right w:val="nil"/>
            </w:tcBorders>
          </w:tcPr>
          <w:p>
            <w:pPr>
              <w:jc w:val="center"/>
              <w:rPr>
                <w:b/>
                <w:bCs/>
                <w:sz w:val="18"/>
                <w:szCs w:val="18"/>
              </w:rPr>
            </w:pPr>
          </w:p>
        </w:tc>
        <w:tc>
          <w:tcPr>
            <w:tcW w:w="534" w:type="dxa"/>
            <w:vMerge w:val="restart"/>
            <w:tcBorders>
              <w:top w:val="single" w:color="auto" w:sz="4" w:space="0"/>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有相当的专业技能，足以应付本身工作</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专业技能一般，但对完成任务尚无障碍</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技能程度稍感不足，执行工作常需请教他人</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对工作必需技能不熟悉，日常工作难以完成</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321" w:type="dxa"/>
            <w:vMerge w:val="continue"/>
            <w:tcBorders>
              <w:right w:val="nil"/>
            </w:tcBorders>
          </w:tcPr>
          <w:p>
            <w:pPr>
              <w:jc w:val="center"/>
              <w:rPr>
                <w:b/>
                <w:bCs/>
                <w:sz w:val="18"/>
                <w:szCs w:val="18"/>
              </w:rPr>
            </w:pPr>
          </w:p>
        </w:tc>
        <w:tc>
          <w:tcPr>
            <w:tcW w:w="534" w:type="dxa"/>
            <w:vMerge w:val="continue"/>
            <w:tcBorders>
              <w:left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1843" w:type="dxa"/>
            <w:vMerge w:val="continue"/>
          </w:tcPr>
          <w:p>
            <w:pPr>
              <w:jc w:val="center"/>
              <w:rPr>
                <w:b/>
                <w:bCs/>
                <w:sz w:val="18"/>
                <w:szCs w:val="18"/>
              </w:rPr>
            </w:pPr>
          </w:p>
        </w:tc>
        <w:tc>
          <w:tcPr>
            <w:tcW w:w="851" w:type="dxa"/>
            <w:vMerge w:val="restart"/>
          </w:tcPr>
          <w:p>
            <w:pPr>
              <w:jc w:val="center"/>
              <w:rPr>
                <w:sz w:val="18"/>
                <w:szCs w:val="18"/>
              </w:rPr>
            </w:pPr>
          </w:p>
          <w:p>
            <w:pPr>
              <w:jc w:val="center"/>
              <w:rPr>
                <w:sz w:val="18"/>
                <w:szCs w:val="18"/>
              </w:rPr>
            </w:pPr>
            <w:r>
              <w:rPr>
                <w:rFonts w:hint="eastAsia"/>
                <w:sz w:val="18"/>
                <w:szCs w:val="18"/>
              </w:rPr>
              <w:t>工作态度与责任感</w:t>
            </w:r>
          </w:p>
          <w:p>
            <w:pPr>
              <w:jc w:val="center"/>
              <w:rPr>
                <w:sz w:val="18"/>
                <w:szCs w:val="18"/>
              </w:rPr>
            </w:pPr>
            <w:r>
              <w:rPr>
                <w:rFonts w:hint="eastAsia"/>
                <w:sz w:val="18"/>
                <w:szCs w:val="18"/>
              </w:rPr>
              <w:t>（10%）</w:t>
            </w:r>
          </w:p>
          <w:p>
            <w:pPr>
              <w:jc w:val="center"/>
              <w:rPr>
                <w:sz w:val="18"/>
                <w:szCs w:val="18"/>
              </w:rPr>
            </w:pPr>
          </w:p>
        </w:tc>
        <w:tc>
          <w:tcPr>
            <w:tcW w:w="4961" w:type="dxa"/>
            <w:gridSpan w:val="2"/>
          </w:tcPr>
          <w:p>
            <w:pPr>
              <w:jc w:val="center"/>
              <w:rPr>
                <w:bCs/>
                <w:sz w:val="18"/>
                <w:szCs w:val="18"/>
              </w:rPr>
            </w:pPr>
            <w:r>
              <w:rPr>
                <w:rFonts w:hint="eastAsia"/>
                <w:bCs/>
                <w:sz w:val="18"/>
                <w:szCs w:val="18"/>
              </w:rPr>
              <w:t>任劳任怨，竭尽所能完成任务</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restart"/>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工作努力，主动，能较好完成分内工作</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有责任心，能自动自发</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交付工作需要督促方能完成</w:t>
            </w:r>
          </w:p>
        </w:tc>
        <w:tc>
          <w:tcPr>
            <w:tcW w:w="567" w:type="dxa"/>
          </w:tcPr>
          <w:p>
            <w:pPr>
              <w:jc w:val="center"/>
              <w:rPr>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Pr>
          <w:p>
            <w:pPr>
              <w:jc w:val="center"/>
              <w:rPr>
                <w:bCs/>
                <w:sz w:val="18"/>
                <w:szCs w:val="18"/>
              </w:rPr>
            </w:pPr>
            <w:r>
              <w:rPr>
                <w:rFonts w:hint="eastAsia"/>
                <w:bCs/>
                <w:sz w:val="18"/>
                <w:szCs w:val="18"/>
              </w:rPr>
              <w:t>敷衍了事，无责任心，做事粗心大意</w:t>
            </w:r>
          </w:p>
        </w:tc>
        <w:tc>
          <w:tcPr>
            <w:tcW w:w="567" w:type="dxa"/>
          </w:tcPr>
          <w:p>
            <w:pPr>
              <w:jc w:val="center"/>
              <w:rPr>
                <w:b/>
                <w:bCs/>
                <w:sz w:val="18"/>
                <w:szCs w:val="18"/>
              </w:rPr>
            </w:pPr>
          </w:p>
        </w:tc>
        <w:tc>
          <w:tcPr>
            <w:tcW w:w="709" w:type="dxa"/>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 w:hRule="atLeast"/>
        </w:trPr>
        <w:tc>
          <w:tcPr>
            <w:tcW w:w="1843" w:type="dxa"/>
            <w:vMerge w:val="continue"/>
          </w:tcPr>
          <w:p>
            <w:pPr>
              <w:jc w:val="center"/>
              <w:rPr>
                <w:b/>
                <w:bCs/>
                <w:sz w:val="18"/>
                <w:szCs w:val="18"/>
              </w:rPr>
            </w:pPr>
          </w:p>
        </w:tc>
        <w:tc>
          <w:tcPr>
            <w:tcW w:w="851" w:type="dxa"/>
            <w:vMerge w:val="restart"/>
          </w:tcPr>
          <w:p>
            <w:pPr>
              <w:jc w:val="center"/>
              <w:rPr>
                <w:bCs/>
                <w:sz w:val="18"/>
                <w:szCs w:val="18"/>
              </w:rPr>
            </w:pPr>
          </w:p>
          <w:p>
            <w:pPr>
              <w:jc w:val="center"/>
              <w:rPr>
                <w:sz w:val="18"/>
                <w:szCs w:val="18"/>
              </w:rPr>
            </w:pPr>
          </w:p>
          <w:p>
            <w:pPr>
              <w:jc w:val="center"/>
              <w:rPr>
                <w:bCs/>
                <w:sz w:val="18"/>
                <w:szCs w:val="18"/>
              </w:rPr>
            </w:pPr>
            <w:r>
              <w:rPr>
                <w:rFonts w:hint="eastAsia"/>
                <w:bCs/>
                <w:sz w:val="18"/>
                <w:szCs w:val="18"/>
              </w:rPr>
              <w:t>协调性</w:t>
            </w:r>
          </w:p>
          <w:p>
            <w:pPr>
              <w:jc w:val="center"/>
              <w:rPr>
                <w:sz w:val="18"/>
                <w:szCs w:val="18"/>
              </w:rPr>
            </w:pPr>
            <w:r>
              <w:rPr>
                <w:rFonts w:hint="eastAsia"/>
                <w:bCs/>
                <w:sz w:val="18"/>
                <w:szCs w:val="18"/>
              </w:rPr>
              <w:t>（10%）</w:t>
            </w:r>
          </w:p>
        </w:tc>
        <w:tc>
          <w:tcPr>
            <w:tcW w:w="4961" w:type="dxa"/>
            <w:gridSpan w:val="2"/>
            <w:tcBorders>
              <w:bottom w:val="single" w:color="auto" w:sz="4" w:space="0"/>
            </w:tcBorders>
          </w:tcPr>
          <w:p>
            <w:pPr>
              <w:jc w:val="center"/>
              <w:rPr>
                <w:bCs/>
                <w:sz w:val="18"/>
                <w:szCs w:val="18"/>
              </w:rPr>
            </w:pPr>
            <w:r>
              <w:rPr>
                <w:rFonts w:hint="eastAsia"/>
                <w:bCs/>
                <w:sz w:val="18"/>
                <w:szCs w:val="18"/>
              </w:rPr>
              <w:t>与人协调无间，为工作顺利完成尽最大努力</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restart"/>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Borders>
              <w:bottom w:val="single" w:color="auto" w:sz="4" w:space="0"/>
            </w:tcBorders>
          </w:tcPr>
          <w:p>
            <w:pPr>
              <w:jc w:val="center"/>
              <w:rPr>
                <w:bCs/>
                <w:sz w:val="18"/>
                <w:szCs w:val="18"/>
              </w:rPr>
            </w:pPr>
            <w:r>
              <w:rPr>
                <w:rFonts w:hint="eastAsia"/>
                <w:bCs/>
                <w:sz w:val="18"/>
                <w:szCs w:val="18"/>
              </w:rPr>
              <w:t>爱护团体，常协助别人</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Borders>
              <w:bottom w:val="single" w:color="auto" w:sz="4" w:space="0"/>
            </w:tcBorders>
          </w:tcPr>
          <w:p>
            <w:pPr>
              <w:jc w:val="center"/>
              <w:rPr>
                <w:bCs/>
                <w:sz w:val="18"/>
                <w:szCs w:val="18"/>
              </w:rPr>
            </w:pPr>
            <w:r>
              <w:rPr>
                <w:rFonts w:hint="eastAsia"/>
                <w:bCs/>
                <w:sz w:val="18"/>
                <w:szCs w:val="18"/>
              </w:rPr>
              <w:t>肯应他人要求帮助别人</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1843" w:type="dxa"/>
            <w:vMerge w:val="continue"/>
          </w:tcPr>
          <w:p>
            <w:pPr>
              <w:jc w:val="center"/>
              <w:rPr>
                <w:b/>
                <w:bCs/>
                <w:sz w:val="18"/>
                <w:szCs w:val="18"/>
              </w:rPr>
            </w:pPr>
          </w:p>
        </w:tc>
        <w:tc>
          <w:tcPr>
            <w:tcW w:w="851" w:type="dxa"/>
            <w:vMerge w:val="continue"/>
          </w:tcPr>
          <w:p>
            <w:pPr>
              <w:jc w:val="center"/>
              <w:rPr>
                <w:bCs/>
                <w:sz w:val="18"/>
                <w:szCs w:val="18"/>
              </w:rPr>
            </w:pPr>
          </w:p>
        </w:tc>
        <w:tc>
          <w:tcPr>
            <w:tcW w:w="4961" w:type="dxa"/>
            <w:gridSpan w:val="2"/>
            <w:tcBorders>
              <w:bottom w:val="single" w:color="auto" w:sz="4" w:space="0"/>
            </w:tcBorders>
          </w:tcPr>
          <w:p>
            <w:pPr>
              <w:jc w:val="center"/>
              <w:rPr>
                <w:bCs/>
                <w:sz w:val="18"/>
                <w:szCs w:val="18"/>
              </w:rPr>
            </w:pPr>
            <w:r>
              <w:rPr>
                <w:rFonts w:hint="eastAsia"/>
                <w:bCs/>
                <w:sz w:val="18"/>
                <w:szCs w:val="18"/>
              </w:rPr>
              <w:t>仅在必要与人协调的工作上与人合作</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1843" w:type="dxa"/>
            <w:vMerge w:val="continue"/>
          </w:tcPr>
          <w:p>
            <w:pPr>
              <w:jc w:val="center"/>
              <w:rPr>
                <w:b/>
                <w:bCs/>
                <w:sz w:val="18"/>
                <w:szCs w:val="18"/>
              </w:rPr>
            </w:pPr>
          </w:p>
        </w:tc>
        <w:tc>
          <w:tcPr>
            <w:tcW w:w="851" w:type="dxa"/>
            <w:vMerge w:val="continue"/>
            <w:tcBorders>
              <w:bottom w:val="single" w:color="auto" w:sz="4" w:space="0"/>
            </w:tcBorders>
          </w:tcPr>
          <w:p>
            <w:pPr>
              <w:jc w:val="center"/>
              <w:rPr>
                <w:bCs/>
                <w:sz w:val="18"/>
                <w:szCs w:val="18"/>
              </w:rPr>
            </w:pPr>
          </w:p>
        </w:tc>
        <w:tc>
          <w:tcPr>
            <w:tcW w:w="4961" w:type="dxa"/>
            <w:gridSpan w:val="2"/>
            <w:tcBorders>
              <w:bottom w:val="single" w:color="auto" w:sz="4" w:space="0"/>
            </w:tcBorders>
          </w:tcPr>
          <w:p>
            <w:pPr>
              <w:jc w:val="center"/>
              <w:rPr>
                <w:bCs/>
                <w:sz w:val="18"/>
                <w:szCs w:val="18"/>
              </w:rPr>
            </w:pPr>
            <w:r>
              <w:rPr>
                <w:rFonts w:hint="eastAsia"/>
                <w:bCs/>
                <w:sz w:val="18"/>
                <w:szCs w:val="18"/>
              </w:rPr>
              <w:t>精神散漫不肯与别人合作</w:t>
            </w:r>
          </w:p>
        </w:tc>
        <w:tc>
          <w:tcPr>
            <w:tcW w:w="567" w:type="dxa"/>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right w:val="nil"/>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43" w:type="dxa"/>
            <w:vMerge w:val="restart"/>
          </w:tcPr>
          <w:p>
            <w:pPr>
              <w:jc w:val="center"/>
              <w:rPr>
                <w:b/>
                <w:bCs/>
                <w:sz w:val="18"/>
                <w:szCs w:val="18"/>
              </w:rPr>
            </w:pPr>
          </w:p>
          <w:p>
            <w:pPr>
              <w:jc w:val="center"/>
              <w:rPr>
                <w:sz w:val="18"/>
                <w:szCs w:val="18"/>
              </w:rPr>
            </w:pPr>
          </w:p>
          <w:p>
            <w:pPr>
              <w:jc w:val="center"/>
              <w:rPr>
                <w:sz w:val="18"/>
                <w:szCs w:val="18"/>
              </w:rPr>
            </w:pPr>
            <w:r>
              <w:rPr>
                <w:rFonts w:hint="eastAsia" w:ascii="宋体" w:hAnsi="宋体" w:eastAsia="宋体" w:cs="宋体"/>
                <w:b/>
                <w:bCs/>
                <w:sz w:val="18"/>
                <w:szCs w:val="18"/>
              </w:rPr>
              <w:t>Ⅲ</w:t>
            </w:r>
            <w:r>
              <w:rPr>
                <w:rFonts w:hint="eastAsia"/>
                <w:b/>
                <w:bCs/>
                <w:sz w:val="18"/>
                <w:szCs w:val="18"/>
              </w:rPr>
              <w:t>、</w:t>
            </w:r>
            <w:r>
              <w:rPr>
                <w:rFonts w:hint="eastAsia"/>
                <w:b/>
                <w:bCs/>
                <w:color w:val="FF0000"/>
                <w:sz w:val="18"/>
                <w:szCs w:val="18"/>
              </w:rPr>
              <w:t>日常行为规范表现（10%）</w:t>
            </w:r>
          </w:p>
        </w:tc>
        <w:tc>
          <w:tcPr>
            <w:tcW w:w="5812" w:type="dxa"/>
            <w:gridSpan w:val="3"/>
            <w:tcBorders>
              <w:bottom w:val="single" w:color="auto" w:sz="4" w:space="0"/>
            </w:tcBorders>
          </w:tcPr>
          <w:p>
            <w:pPr>
              <w:jc w:val="center"/>
              <w:rPr>
                <w:bCs/>
                <w:sz w:val="18"/>
                <w:szCs w:val="18"/>
              </w:rPr>
            </w:pPr>
            <w:r>
              <w:rPr>
                <w:rFonts w:hint="eastAsia"/>
                <w:bCs/>
                <w:sz w:val="18"/>
                <w:szCs w:val="18"/>
              </w:rPr>
              <w:t>自觉遵守和维护公司各项规章制度（考勤、网络使用规定）</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tcBorders>
          </w:tcPr>
          <w:p>
            <w:pPr>
              <w:jc w:val="center"/>
              <w:rPr>
                <w:b/>
                <w:bCs/>
                <w:sz w:val="18"/>
                <w:szCs w:val="18"/>
              </w:rPr>
            </w:pPr>
          </w:p>
        </w:tc>
        <w:tc>
          <w:tcPr>
            <w:tcW w:w="855" w:type="dxa"/>
            <w:gridSpan w:val="2"/>
            <w:vMerge w:val="restart"/>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1843" w:type="dxa"/>
            <w:vMerge w:val="continue"/>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能遵守公司各项规章制度，但需要有人督导</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trPr>
        <w:tc>
          <w:tcPr>
            <w:tcW w:w="1843" w:type="dxa"/>
            <w:vMerge w:val="continue"/>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偶有迟到，但上班后工作兢兢业业</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1843" w:type="dxa"/>
            <w:vMerge w:val="continue"/>
          </w:tcPr>
          <w:p>
            <w:pPr>
              <w:jc w:val="center"/>
              <w:rPr>
                <w:b/>
                <w:bCs/>
                <w:sz w:val="18"/>
                <w:szCs w:val="18"/>
              </w:rPr>
            </w:pPr>
          </w:p>
        </w:tc>
        <w:tc>
          <w:tcPr>
            <w:tcW w:w="5812" w:type="dxa"/>
            <w:gridSpan w:val="3"/>
            <w:tcBorders>
              <w:bottom w:val="single" w:color="auto" w:sz="4" w:space="0"/>
            </w:tcBorders>
          </w:tcPr>
          <w:p>
            <w:pPr>
              <w:jc w:val="center"/>
              <w:rPr>
                <w:b/>
                <w:bCs/>
                <w:sz w:val="18"/>
                <w:szCs w:val="18"/>
              </w:rPr>
            </w:pPr>
            <w:r>
              <w:rPr>
                <w:rFonts w:hint="eastAsia"/>
                <w:bCs/>
                <w:sz w:val="18"/>
                <w:szCs w:val="18"/>
              </w:rPr>
              <w:t>纪律观念不强，偶尔违反公司规章制度</w:t>
            </w:r>
          </w:p>
        </w:tc>
        <w:tc>
          <w:tcPr>
            <w:tcW w:w="567" w:type="dxa"/>
            <w:tcBorders>
              <w:bottom w:val="single" w:color="auto" w:sz="4" w:space="0"/>
            </w:tcBorders>
          </w:tcPr>
          <w:p>
            <w:pPr>
              <w:jc w:val="center"/>
              <w:rPr>
                <w:b/>
                <w:bCs/>
                <w:sz w:val="18"/>
                <w:szCs w:val="18"/>
              </w:rPr>
            </w:pPr>
          </w:p>
        </w:tc>
        <w:tc>
          <w:tcPr>
            <w:tcW w:w="709" w:type="dxa"/>
            <w:tcBorders>
              <w:bottom w:val="single" w:color="auto" w:sz="4" w:space="0"/>
            </w:tcBorders>
          </w:tcPr>
          <w:p>
            <w:pPr>
              <w:jc w:val="center"/>
              <w:rPr>
                <w:b/>
                <w:bCs/>
                <w:sz w:val="18"/>
                <w:szCs w:val="18"/>
              </w:rPr>
            </w:pPr>
          </w:p>
        </w:tc>
        <w:tc>
          <w:tcPr>
            <w:tcW w:w="846" w:type="dxa"/>
            <w:tcBorders>
              <w:bottom w:val="single" w:color="auto" w:sz="4" w:space="0"/>
            </w:tcBorders>
          </w:tcPr>
          <w:p>
            <w:pPr>
              <w:jc w:val="center"/>
              <w:rPr>
                <w:b/>
                <w:bCs/>
                <w:sz w:val="18"/>
                <w:szCs w:val="18"/>
              </w:rPr>
            </w:pPr>
          </w:p>
        </w:tc>
        <w:tc>
          <w:tcPr>
            <w:tcW w:w="855" w:type="dxa"/>
            <w:gridSpan w:val="2"/>
            <w:vMerge w:val="continue"/>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 w:hRule="atLeast"/>
        </w:trPr>
        <w:tc>
          <w:tcPr>
            <w:tcW w:w="1843" w:type="dxa"/>
            <w:vMerge w:val="continue"/>
            <w:tcBorders>
              <w:bottom w:val="nil"/>
            </w:tcBorders>
          </w:tcPr>
          <w:p>
            <w:pPr>
              <w:jc w:val="center"/>
              <w:rPr>
                <w:b/>
                <w:bCs/>
                <w:sz w:val="18"/>
                <w:szCs w:val="18"/>
              </w:rPr>
            </w:pPr>
          </w:p>
        </w:tc>
        <w:tc>
          <w:tcPr>
            <w:tcW w:w="5812" w:type="dxa"/>
            <w:gridSpan w:val="3"/>
            <w:tcBorders>
              <w:bottom w:val="nil"/>
            </w:tcBorders>
          </w:tcPr>
          <w:p>
            <w:pPr>
              <w:jc w:val="center"/>
              <w:rPr>
                <w:b/>
                <w:bCs/>
                <w:sz w:val="18"/>
                <w:szCs w:val="18"/>
              </w:rPr>
            </w:pPr>
            <w:r>
              <w:rPr>
                <w:rFonts w:hint="eastAsia"/>
                <w:bCs/>
                <w:sz w:val="18"/>
                <w:szCs w:val="18"/>
              </w:rPr>
              <w:t>经常违反公司制度，被指正时态度傲慢</w:t>
            </w:r>
          </w:p>
        </w:tc>
        <w:tc>
          <w:tcPr>
            <w:tcW w:w="567" w:type="dxa"/>
            <w:tcBorders>
              <w:bottom w:val="nil"/>
            </w:tcBorders>
          </w:tcPr>
          <w:p>
            <w:pPr>
              <w:jc w:val="center"/>
              <w:rPr>
                <w:b/>
                <w:bCs/>
                <w:sz w:val="18"/>
                <w:szCs w:val="18"/>
              </w:rPr>
            </w:pPr>
          </w:p>
        </w:tc>
        <w:tc>
          <w:tcPr>
            <w:tcW w:w="709" w:type="dxa"/>
            <w:tcBorders>
              <w:bottom w:val="nil"/>
            </w:tcBorders>
          </w:tcPr>
          <w:p>
            <w:pPr>
              <w:jc w:val="center"/>
              <w:rPr>
                <w:b/>
                <w:bCs/>
                <w:sz w:val="18"/>
                <w:szCs w:val="18"/>
              </w:rPr>
            </w:pPr>
          </w:p>
        </w:tc>
        <w:tc>
          <w:tcPr>
            <w:tcW w:w="846" w:type="dxa"/>
            <w:tcBorders>
              <w:bottom w:val="nil"/>
            </w:tcBorders>
          </w:tcPr>
          <w:p>
            <w:pPr>
              <w:jc w:val="center"/>
              <w:rPr>
                <w:b/>
                <w:bCs/>
                <w:sz w:val="18"/>
                <w:szCs w:val="18"/>
              </w:rPr>
            </w:pPr>
          </w:p>
        </w:tc>
        <w:tc>
          <w:tcPr>
            <w:tcW w:w="855" w:type="dxa"/>
            <w:gridSpan w:val="2"/>
            <w:vMerge w:val="continue"/>
            <w:tcBorders>
              <w:bottom w:val="nil"/>
            </w:tcBorders>
          </w:tcPr>
          <w:p>
            <w:pPr>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trPr>
        <w:tc>
          <w:tcPr>
            <w:tcW w:w="1843" w:type="dxa"/>
            <w:tcBorders>
              <w:top w:val="single" w:color="auto" w:sz="4" w:space="0"/>
              <w:bottom w:val="single" w:color="auto" w:sz="4" w:space="0"/>
            </w:tcBorders>
          </w:tcPr>
          <w:p>
            <w:pPr>
              <w:jc w:val="center"/>
              <w:rPr>
                <w:b/>
                <w:bCs/>
                <w:sz w:val="18"/>
                <w:szCs w:val="18"/>
              </w:rPr>
            </w:pPr>
            <w:r>
              <w:rPr>
                <w:rFonts w:hint="eastAsia"/>
                <w:b/>
                <w:bCs/>
                <w:sz w:val="18"/>
                <w:szCs w:val="18"/>
              </w:rPr>
              <w:t>评价得分</w:t>
            </w:r>
          </w:p>
        </w:tc>
        <w:tc>
          <w:tcPr>
            <w:tcW w:w="8789" w:type="dxa"/>
            <w:gridSpan w:val="8"/>
            <w:tcBorders>
              <w:top w:val="single" w:color="auto" w:sz="4" w:space="0"/>
              <w:bottom w:val="single" w:color="auto" w:sz="4" w:space="0"/>
            </w:tcBorders>
          </w:tcPr>
          <w:p>
            <w:pPr>
              <w:jc w:val="center"/>
              <w:rPr>
                <w:bCs/>
                <w:sz w:val="18"/>
                <w:szCs w:val="18"/>
              </w:rPr>
            </w:pPr>
            <w:r>
              <w:rPr>
                <w:rFonts w:hint="eastAsia"/>
                <w:bCs/>
                <w:sz w:val="18"/>
                <w:szCs w:val="18"/>
              </w:rPr>
              <w:t>Ⅰ(第1项平均分)×权重系数+(第2项平均分)×权重系数+（第3项平均分）×权重系数=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843" w:type="dxa"/>
            <w:tcBorders>
              <w:bottom w:val="single" w:color="auto" w:sz="4" w:space="0"/>
            </w:tcBorders>
          </w:tcPr>
          <w:p>
            <w:pPr>
              <w:jc w:val="center"/>
              <w:rPr>
                <w:b/>
                <w:bCs/>
                <w:sz w:val="18"/>
                <w:szCs w:val="18"/>
              </w:rPr>
            </w:pPr>
            <w:r>
              <w:rPr>
                <w:rFonts w:hint="eastAsia"/>
                <w:b/>
                <w:bCs/>
                <w:sz w:val="18"/>
                <w:szCs w:val="18"/>
              </w:rPr>
              <w:t>总计本月得分</w:t>
            </w:r>
          </w:p>
        </w:tc>
        <w:tc>
          <w:tcPr>
            <w:tcW w:w="8789" w:type="dxa"/>
            <w:gridSpan w:val="8"/>
            <w:tcBorders>
              <w:top w:val="single" w:color="auto" w:sz="4" w:space="0"/>
              <w:bottom w:val="single" w:color="auto" w:sz="4" w:space="0"/>
            </w:tcBorders>
          </w:tcPr>
          <w:p>
            <w:pPr>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1843" w:type="dxa"/>
            <w:tcBorders>
              <w:top w:val="single" w:color="auto" w:sz="4" w:space="0"/>
              <w:bottom w:val="single" w:color="auto" w:sz="4" w:space="0"/>
            </w:tcBorders>
          </w:tcPr>
          <w:p>
            <w:pPr>
              <w:jc w:val="center"/>
              <w:rPr>
                <w:b/>
                <w:bCs/>
                <w:sz w:val="18"/>
                <w:szCs w:val="18"/>
              </w:rPr>
            </w:pPr>
            <w:r>
              <w:rPr>
                <w:rFonts w:hint="eastAsia"/>
                <w:b/>
                <w:bCs/>
                <w:sz w:val="18"/>
                <w:szCs w:val="18"/>
              </w:rPr>
              <w:t>评价等级</w:t>
            </w:r>
          </w:p>
        </w:tc>
        <w:tc>
          <w:tcPr>
            <w:tcW w:w="8789" w:type="dxa"/>
            <w:gridSpan w:val="8"/>
            <w:tcBorders>
              <w:top w:val="single" w:color="auto" w:sz="4" w:space="0"/>
              <w:bottom w:val="single" w:color="auto" w:sz="4" w:space="0"/>
            </w:tcBorders>
          </w:tcPr>
          <w:p>
            <w:pPr>
              <w:jc w:val="center"/>
              <w:rPr>
                <w:bCs/>
                <w:sz w:val="18"/>
                <w:szCs w:val="18"/>
              </w:rPr>
            </w:pPr>
            <w:r>
              <w:rPr>
                <w:rFonts w:hint="eastAsia"/>
                <w:bCs/>
                <w:sz w:val="18"/>
                <w:szCs w:val="18"/>
              </w:rPr>
              <w:t>□S90-100分       □A80-89.99分        □B70-79.99分        □C60-60.99分      □D60分以下</w:t>
            </w:r>
          </w:p>
        </w:tc>
      </w:tr>
    </w:tbl>
    <w:p>
      <w:pPr>
        <w:jc w:val="center"/>
        <w:rPr>
          <w:szCs w:val="21"/>
        </w:rPr>
      </w:pPr>
    </w:p>
    <w:p>
      <w:pPr>
        <w:jc w:val="center"/>
        <w:rPr>
          <w:szCs w:val="21"/>
        </w:rPr>
      </w:pPr>
    </w:p>
    <w:p>
      <w:pPr>
        <w:jc w:val="center"/>
        <w:rPr>
          <w:b/>
          <w:szCs w:val="21"/>
        </w:rPr>
      </w:pPr>
      <w:r>
        <w:rPr>
          <w:rFonts w:hint="eastAsia"/>
          <w:b/>
          <w:szCs w:val="21"/>
        </w:rPr>
        <w:t>考核表2</w:t>
      </w:r>
    </w:p>
    <w:tbl>
      <w:tblPr>
        <w:tblStyle w:val="5"/>
        <w:tblW w:w="11057"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47"/>
        <w:gridCol w:w="872"/>
        <w:gridCol w:w="178"/>
        <w:gridCol w:w="722"/>
        <w:gridCol w:w="976"/>
        <w:gridCol w:w="3012"/>
        <w:gridCol w:w="900"/>
        <w:gridCol w:w="90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绩效考核目的</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建立以岗位竞争的绩效考评机制，充分调动全体员工的积极性的创造性，实现公司年度总目标。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绩效考核阶段</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□月度考核    □季度考核     □年中考核     □年终考核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绩效考核部门</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江苏海俊广告设计部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绩效考核项目</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以业绩指标及综合能力等作为考评依据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绩效考核原则</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公平、公正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绩效考核方法</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KPI与目标管理法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8" w:type="dxa"/>
            <w:gridSpan w:val="3"/>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考核组织负责人</w:t>
            </w:r>
          </w:p>
        </w:tc>
        <w:tc>
          <w:tcPr>
            <w:tcW w:w="900" w:type="dxa"/>
            <w:gridSpan w:val="2"/>
          </w:tcPr>
          <w:p>
            <w:pPr>
              <w:spacing w:line="400" w:lineRule="exact"/>
              <w:rPr>
                <w:rFonts w:hint="eastAsia" w:ascii="宋体" w:hAnsi="宋体" w:eastAsia="宋体" w:cs="Times New Roman"/>
                <w:b/>
                <w:bCs/>
                <w:color w:val="000000"/>
                <w:szCs w:val="21"/>
              </w:rPr>
            </w:pPr>
          </w:p>
        </w:tc>
        <w:tc>
          <w:tcPr>
            <w:tcW w:w="6929" w:type="dxa"/>
            <w:gridSpan w:val="5"/>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部门主管、行政人资部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dxa"/>
          </w:tcPr>
          <w:p>
            <w:pPr>
              <w:spacing w:line="400" w:lineRule="exact"/>
              <w:jc w:val="center"/>
              <w:rPr>
                <w:rFonts w:hint="eastAsia" w:ascii="宋体" w:hAnsi="宋体" w:eastAsia="宋体" w:cs="Times New Roman"/>
                <w:b/>
                <w:bCs/>
                <w:color w:val="000000"/>
                <w:szCs w:val="21"/>
              </w:rPr>
            </w:pPr>
          </w:p>
        </w:tc>
        <w:tc>
          <w:tcPr>
            <w:tcW w:w="9448" w:type="dxa"/>
            <w:gridSpan w:val="9"/>
            <w:shd w:val="clear" w:color="auto" w:fill="auto"/>
          </w:tcPr>
          <w:p>
            <w:pPr>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考核项目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000000"/>
                <w:szCs w:val="21"/>
              </w:rPr>
              <w:t>考核项目占比</w:t>
            </w:r>
          </w:p>
        </w:tc>
        <w:tc>
          <w:tcPr>
            <w:tcW w:w="2748" w:type="dxa"/>
            <w:gridSpan w:val="4"/>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考核要项</w:t>
            </w:r>
          </w:p>
        </w:tc>
        <w:tc>
          <w:tcPr>
            <w:tcW w:w="3012" w:type="dxa"/>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业务成绩</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分值</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得分</w:t>
            </w:r>
          </w:p>
        </w:tc>
        <w:tc>
          <w:tcPr>
            <w:tcW w:w="1141"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2356" w:type="dxa"/>
            <w:gridSpan w:val="2"/>
            <w:vMerge w:val="restart"/>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
                <w:bCs/>
                <w:color w:val="FF0000"/>
                <w:szCs w:val="21"/>
              </w:rPr>
              <w:t>项目业绩指标（70%）</w:t>
            </w:r>
          </w:p>
        </w:tc>
        <w:tc>
          <w:tcPr>
            <w:tcW w:w="1050" w:type="dxa"/>
            <w:gridSpan w:val="2"/>
            <w:vMerge w:val="restart"/>
            <w:shd w:val="clear" w:color="auto" w:fill="auto"/>
          </w:tcPr>
          <w:p>
            <w:pPr>
              <w:spacing w:line="400" w:lineRule="exact"/>
              <w:rPr>
                <w:rFonts w:ascii="宋体" w:hAnsi="宋体" w:eastAsia="宋体" w:cs="Times New Roman"/>
                <w:bCs/>
                <w:color w:val="000000"/>
                <w:sz w:val="18"/>
                <w:szCs w:val="18"/>
              </w:rPr>
            </w:pPr>
            <w:r>
              <w:rPr>
                <w:rFonts w:hint="eastAsia" w:ascii="宋体" w:hAnsi="宋体" w:eastAsia="宋体" w:cs="Times New Roman"/>
                <w:bCs/>
                <w:color w:val="000000"/>
                <w:sz w:val="18"/>
                <w:szCs w:val="18"/>
              </w:rPr>
              <w:t>设计稿件</w:t>
            </w:r>
            <w:r>
              <w:rPr>
                <w:rFonts w:hint="eastAsia" w:ascii="宋体" w:hAnsi="宋体" w:eastAsia="宋体" w:cs="Times New Roman"/>
                <w:b/>
                <w:bCs/>
                <w:color w:val="000000"/>
                <w:sz w:val="18"/>
                <w:szCs w:val="18"/>
              </w:rPr>
              <w:t>数量、质量</w:t>
            </w:r>
            <w:r>
              <w:rPr>
                <w:rFonts w:hint="eastAsia" w:ascii="宋体" w:hAnsi="宋体" w:eastAsia="宋体" w:cs="Times New Roman"/>
                <w:bCs/>
                <w:color w:val="000000"/>
                <w:sz w:val="18"/>
                <w:szCs w:val="18"/>
              </w:rPr>
              <w:t>及</w:t>
            </w:r>
            <w:r>
              <w:rPr>
                <w:rFonts w:hint="eastAsia" w:ascii="宋体" w:hAnsi="宋体" w:eastAsia="宋体" w:cs="Times New Roman"/>
                <w:b/>
                <w:bCs/>
                <w:color w:val="000000"/>
                <w:sz w:val="18"/>
                <w:szCs w:val="18"/>
              </w:rPr>
              <w:t>业务成绩</w:t>
            </w:r>
          </w:p>
        </w:tc>
        <w:tc>
          <w:tcPr>
            <w:tcW w:w="1698" w:type="dxa"/>
            <w:gridSpan w:val="2"/>
            <w:shd w:val="clear" w:color="auto" w:fill="auto"/>
          </w:tcPr>
          <w:p>
            <w:pPr>
              <w:spacing w:line="400" w:lineRule="exact"/>
              <w:rPr>
                <w:rFonts w:ascii="宋体" w:hAnsi="宋体" w:eastAsia="宋体" w:cs="Times New Roman"/>
                <w:bCs/>
                <w:color w:val="FF0000"/>
                <w:szCs w:val="21"/>
              </w:rPr>
            </w:pPr>
            <w:r>
              <w:rPr>
                <w:rFonts w:hint="eastAsia" w:ascii="宋体" w:hAnsi="宋体" w:eastAsia="宋体" w:cs="Times New Roman"/>
                <w:bCs/>
                <w:color w:val="FF0000"/>
                <w:szCs w:val="21"/>
              </w:rPr>
              <w:t>稿件低于    件</w:t>
            </w:r>
          </w:p>
        </w:tc>
        <w:tc>
          <w:tcPr>
            <w:tcW w:w="3012" w:type="dxa"/>
          </w:tcPr>
          <w:p>
            <w:pPr>
              <w:spacing w:line="400" w:lineRule="exact"/>
              <w:rPr>
                <w:rFonts w:hint="eastAsia" w:ascii="宋体" w:hAnsi="宋体" w:eastAsia="宋体" w:cs="Times New Roman"/>
                <w:bCs/>
                <w:color w:val="FF0000"/>
                <w:szCs w:val="21"/>
              </w:rPr>
            </w:pPr>
            <w:r>
              <w:rPr>
                <w:rFonts w:hint="eastAsia" w:ascii="宋体" w:hAnsi="宋体" w:eastAsia="宋体" w:cs="Times New Roman"/>
                <w:bCs/>
                <w:color w:val="FF0000"/>
                <w:szCs w:val="21"/>
              </w:rPr>
              <w:t>当月业绩低于        万</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 xml:space="preserve"> 0分</w:t>
            </w:r>
          </w:p>
        </w:tc>
        <w:tc>
          <w:tcPr>
            <w:tcW w:w="900" w:type="dxa"/>
            <w:vMerge w:val="restart"/>
            <w:shd w:val="clear" w:color="auto" w:fill="auto"/>
          </w:tcPr>
          <w:p>
            <w:pPr>
              <w:spacing w:line="400" w:lineRule="exact"/>
              <w:rPr>
                <w:rFonts w:ascii="宋体" w:hAnsi="宋体" w:eastAsia="宋体" w:cs="Times New Roman"/>
                <w:b/>
                <w:bCs/>
                <w:color w:val="000000"/>
                <w:szCs w:val="21"/>
              </w:rPr>
            </w:pPr>
          </w:p>
        </w:tc>
        <w:tc>
          <w:tcPr>
            <w:tcW w:w="1141" w:type="dxa"/>
            <w:vMerge w:val="restart"/>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6" w:type="dxa"/>
            <w:gridSpan w:val="2"/>
            <w:vMerge w:val="continue"/>
            <w:shd w:val="clear" w:color="auto" w:fill="auto"/>
          </w:tcPr>
          <w:p>
            <w:pPr>
              <w:spacing w:line="400" w:lineRule="exact"/>
              <w:rPr>
                <w:rFonts w:ascii="宋体" w:hAnsi="宋体" w:eastAsia="宋体" w:cs="Times New Roman"/>
                <w:b/>
                <w:bCs/>
                <w:color w:val="000000"/>
                <w:szCs w:val="21"/>
              </w:rPr>
            </w:pPr>
          </w:p>
        </w:tc>
        <w:tc>
          <w:tcPr>
            <w:tcW w:w="1050" w:type="dxa"/>
            <w:gridSpan w:val="2"/>
            <w:vMerge w:val="continue"/>
            <w:shd w:val="clear" w:color="auto" w:fill="auto"/>
          </w:tcPr>
          <w:p>
            <w:pPr>
              <w:spacing w:line="400" w:lineRule="exact"/>
              <w:rPr>
                <w:rFonts w:ascii="宋体" w:hAnsi="宋体" w:eastAsia="宋体" w:cs="Times New Roman"/>
                <w:bCs/>
                <w:color w:val="000000"/>
                <w:szCs w:val="21"/>
              </w:rPr>
            </w:pPr>
          </w:p>
        </w:tc>
        <w:tc>
          <w:tcPr>
            <w:tcW w:w="1698" w:type="dxa"/>
            <w:gridSpan w:val="2"/>
            <w:shd w:val="clear" w:color="auto" w:fill="auto"/>
          </w:tcPr>
          <w:p>
            <w:pPr>
              <w:spacing w:line="400" w:lineRule="exact"/>
              <w:rPr>
                <w:rFonts w:ascii="宋体" w:hAnsi="宋体" w:eastAsia="宋体" w:cs="Times New Roman"/>
                <w:bCs/>
                <w:color w:val="FF0000"/>
                <w:szCs w:val="21"/>
              </w:rPr>
            </w:pPr>
            <w:r>
              <w:rPr>
                <w:rFonts w:hint="eastAsia" w:ascii="宋体" w:hAnsi="宋体" w:eastAsia="宋体" w:cs="Times New Roman"/>
                <w:bCs/>
                <w:color w:val="FF0000"/>
                <w:szCs w:val="21"/>
              </w:rPr>
              <w:t>稿件低于    件</w:t>
            </w:r>
          </w:p>
        </w:tc>
        <w:tc>
          <w:tcPr>
            <w:tcW w:w="3012" w:type="dxa"/>
          </w:tcPr>
          <w:p>
            <w:pPr>
              <w:spacing w:line="400" w:lineRule="exact"/>
              <w:rPr>
                <w:rFonts w:hint="eastAsia" w:ascii="宋体" w:hAnsi="宋体" w:eastAsia="宋体" w:cs="Times New Roman"/>
                <w:bCs/>
                <w:color w:val="FF0000"/>
                <w:szCs w:val="21"/>
              </w:rPr>
            </w:pPr>
            <w:r>
              <w:rPr>
                <w:rFonts w:hint="eastAsia" w:ascii="宋体" w:hAnsi="宋体" w:eastAsia="宋体" w:cs="Times New Roman"/>
                <w:bCs/>
                <w:color w:val="FF0000"/>
                <w:szCs w:val="21"/>
              </w:rPr>
              <w:t>当月业绩低于        万</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50分</w:t>
            </w:r>
          </w:p>
        </w:tc>
        <w:tc>
          <w:tcPr>
            <w:tcW w:w="900" w:type="dxa"/>
            <w:vMerge w:val="continue"/>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rPr>
        <w:tc>
          <w:tcPr>
            <w:tcW w:w="2356" w:type="dxa"/>
            <w:gridSpan w:val="2"/>
            <w:vMerge w:val="continue"/>
            <w:shd w:val="clear" w:color="auto" w:fill="auto"/>
          </w:tcPr>
          <w:p>
            <w:pPr>
              <w:spacing w:line="400" w:lineRule="exact"/>
              <w:rPr>
                <w:rFonts w:ascii="宋体" w:hAnsi="宋体" w:eastAsia="宋体" w:cs="Times New Roman"/>
                <w:b/>
                <w:bCs/>
                <w:color w:val="000000"/>
                <w:szCs w:val="21"/>
              </w:rPr>
            </w:pPr>
          </w:p>
        </w:tc>
        <w:tc>
          <w:tcPr>
            <w:tcW w:w="1050" w:type="dxa"/>
            <w:gridSpan w:val="2"/>
            <w:vMerge w:val="continue"/>
            <w:shd w:val="clear" w:color="auto" w:fill="auto"/>
          </w:tcPr>
          <w:p>
            <w:pPr>
              <w:spacing w:line="400" w:lineRule="exact"/>
              <w:rPr>
                <w:rFonts w:ascii="宋体" w:hAnsi="宋体" w:eastAsia="宋体" w:cs="Times New Roman"/>
                <w:bCs/>
                <w:color w:val="000000"/>
                <w:szCs w:val="21"/>
              </w:rPr>
            </w:pPr>
          </w:p>
        </w:tc>
        <w:tc>
          <w:tcPr>
            <w:tcW w:w="1698" w:type="dxa"/>
            <w:gridSpan w:val="2"/>
            <w:shd w:val="clear" w:color="auto" w:fill="auto"/>
          </w:tcPr>
          <w:p>
            <w:pPr>
              <w:spacing w:line="400" w:lineRule="exact"/>
              <w:rPr>
                <w:rFonts w:ascii="宋体" w:hAnsi="宋体" w:eastAsia="宋体" w:cs="Times New Roman"/>
                <w:bCs/>
                <w:color w:val="FF0000"/>
                <w:szCs w:val="21"/>
              </w:rPr>
            </w:pPr>
            <w:r>
              <w:rPr>
                <w:rFonts w:hint="eastAsia" w:ascii="宋体" w:hAnsi="宋体" w:eastAsia="宋体" w:cs="Times New Roman"/>
                <w:bCs/>
                <w:color w:val="FF0000"/>
                <w:szCs w:val="21"/>
              </w:rPr>
              <w:t>稿件低于    件</w:t>
            </w:r>
          </w:p>
        </w:tc>
        <w:tc>
          <w:tcPr>
            <w:tcW w:w="3012" w:type="dxa"/>
          </w:tcPr>
          <w:p>
            <w:pPr>
              <w:spacing w:line="400" w:lineRule="exact"/>
              <w:rPr>
                <w:rFonts w:hint="eastAsia" w:ascii="宋体" w:hAnsi="宋体" w:eastAsia="宋体" w:cs="Times New Roman"/>
                <w:bCs/>
                <w:color w:val="FF0000"/>
                <w:szCs w:val="21"/>
              </w:rPr>
            </w:pPr>
            <w:r>
              <w:rPr>
                <w:rFonts w:hint="eastAsia" w:ascii="宋体" w:hAnsi="宋体" w:eastAsia="宋体" w:cs="Times New Roman"/>
                <w:bCs/>
                <w:color w:val="FF0000"/>
                <w:szCs w:val="21"/>
              </w:rPr>
              <w:t>当月业绩低于        万</w:t>
            </w:r>
          </w:p>
        </w:tc>
        <w:tc>
          <w:tcPr>
            <w:tcW w:w="900" w:type="dxa"/>
            <w:shd w:val="clear" w:color="auto" w:fill="auto"/>
          </w:tcPr>
          <w:p>
            <w:pPr>
              <w:spacing w:line="400" w:lineRule="exact"/>
              <w:rPr>
                <w:rFonts w:ascii="宋体" w:hAnsi="宋体" w:eastAsia="宋体" w:cs="Times New Roman"/>
                <w:bCs/>
                <w:color w:val="000000"/>
                <w:szCs w:val="21"/>
              </w:rPr>
            </w:pPr>
            <w:r>
              <w:rPr>
                <w:rFonts w:hint="eastAsia" w:ascii="宋体" w:hAnsi="宋体" w:eastAsia="宋体" w:cs="Times New Roman"/>
                <w:bCs/>
                <w:color w:val="000000"/>
                <w:szCs w:val="21"/>
              </w:rPr>
              <w:t>60分</w:t>
            </w:r>
          </w:p>
        </w:tc>
        <w:tc>
          <w:tcPr>
            <w:tcW w:w="900" w:type="dxa"/>
            <w:vMerge w:val="continue"/>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rPr>
        <w:tc>
          <w:tcPr>
            <w:tcW w:w="2356" w:type="dxa"/>
            <w:gridSpan w:val="2"/>
            <w:vMerge w:val="continue"/>
            <w:shd w:val="clear" w:color="auto" w:fill="auto"/>
          </w:tcPr>
          <w:p>
            <w:pPr>
              <w:spacing w:line="400" w:lineRule="exact"/>
              <w:rPr>
                <w:rFonts w:ascii="宋体" w:hAnsi="宋体" w:eastAsia="宋体" w:cs="Times New Roman"/>
                <w:b/>
                <w:bCs/>
                <w:color w:val="000000"/>
                <w:szCs w:val="21"/>
              </w:rPr>
            </w:pPr>
          </w:p>
        </w:tc>
        <w:tc>
          <w:tcPr>
            <w:tcW w:w="1050" w:type="dxa"/>
            <w:gridSpan w:val="2"/>
            <w:vMerge w:val="continue"/>
            <w:shd w:val="clear" w:color="auto" w:fill="auto"/>
          </w:tcPr>
          <w:p>
            <w:pPr>
              <w:spacing w:line="400" w:lineRule="exact"/>
              <w:rPr>
                <w:rFonts w:ascii="宋体" w:hAnsi="宋体" w:eastAsia="宋体" w:cs="Times New Roman"/>
                <w:bCs/>
                <w:color w:val="000000"/>
                <w:szCs w:val="21"/>
              </w:rPr>
            </w:pPr>
          </w:p>
        </w:tc>
        <w:tc>
          <w:tcPr>
            <w:tcW w:w="1698" w:type="dxa"/>
            <w:gridSpan w:val="2"/>
            <w:shd w:val="clear" w:color="auto" w:fill="auto"/>
          </w:tcPr>
          <w:p>
            <w:pPr>
              <w:spacing w:line="400" w:lineRule="exact"/>
              <w:rPr>
                <w:rFonts w:ascii="宋体" w:hAnsi="宋体" w:eastAsia="宋体" w:cs="Times New Roman"/>
                <w:bCs/>
                <w:color w:val="FF0000"/>
                <w:szCs w:val="21"/>
              </w:rPr>
            </w:pPr>
            <w:r>
              <w:rPr>
                <w:rFonts w:hint="eastAsia" w:ascii="宋体" w:hAnsi="宋体" w:eastAsia="宋体" w:cs="Times New Roman"/>
                <w:bCs/>
                <w:color w:val="FF0000"/>
                <w:szCs w:val="21"/>
              </w:rPr>
              <w:t>稿件高于    件</w:t>
            </w:r>
          </w:p>
        </w:tc>
        <w:tc>
          <w:tcPr>
            <w:tcW w:w="3012" w:type="dxa"/>
          </w:tcPr>
          <w:p>
            <w:pPr>
              <w:spacing w:line="400" w:lineRule="exact"/>
              <w:rPr>
                <w:rFonts w:hint="eastAsia" w:ascii="宋体" w:hAnsi="宋体" w:eastAsia="宋体" w:cs="Times New Roman"/>
                <w:bCs/>
                <w:color w:val="FF0000"/>
                <w:szCs w:val="21"/>
              </w:rPr>
            </w:pPr>
            <w:r>
              <w:rPr>
                <w:rFonts w:hint="eastAsia" w:ascii="宋体" w:hAnsi="宋体" w:eastAsia="宋体" w:cs="Times New Roman"/>
                <w:bCs/>
                <w:color w:val="FF0000"/>
                <w:szCs w:val="21"/>
              </w:rPr>
              <w:t>当月业绩高于        万</w:t>
            </w:r>
          </w:p>
        </w:tc>
        <w:tc>
          <w:tcPr>
            <w:tcW w:w="900" w:type="dxa"/>
            <w:shd w:val="clear" w:color="auto" w:fill="auto"/>
          </w:tcPr>
          <w:p>
            <w:pPr>
              <w:spacing w:line="400" w:lineRule="exact"/>
              <w:rPr>
                <w:rFonts w:hint="eastAsia" w:ascii="宋体" w:hAnsi="宋体" w:eastAsia="宋体" w:cs="Times New Roman"/>
                <w:bCs/>
                <w:color w:val="000000"/>
                <w:szCs w:val="21"/>
              </w:rPr>
            </w:pPr>
            <w:r>
              <w:rPr>
                <w:rFonts w:hint="eastAsia" w:ascii="宋体" w:hAnsi="宋体" w:eastAsia="宋体" w:cs="Times New Roman"/>
                <w:bCs/>
                <w:color w:val="000000"/>
                <w:szCs w:val="21"/>
              </w:rPr>
              <w:t>70分</w:t>
            </w:r>
          </w:p>
          <w:p>
            <w:pPr>
              <w:spacing w:line="400" w:lineRule="exact"/>
              <w:rPr>
                <w:rFonts w:ascii="宋体" w:hAnsi="宋体" w:eastAsia="宋体" w:cs="Times New Roman"/>
                <w:bCs/>
                <w:color w:val="000000"/>
                <w:szCs w:val="21"/>
              </w:rPr>
            </w:pP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restart"/>
            <w:shd w:val="clear" w:color="auto" w:fill="auto"/>
            <w:vAlign w:val="center"/>
          </w:tcPr>
          <w:p>
            <w:pPr>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综合能力（20%）</w:t>
            </w:r>
          </w:p>
          <w:p>
            <w:pPr>
              <w:spacing w:line="400" w:lineRule="exact"/>
              <w:ind w:firstLine="103" w:firstLineChars="49"/>
              <w:jc w:val="center"/>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广告平面设计方案计划执行的有效性</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广告平面设计使用后的社会效果和影响力</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团队合作精神：是否有很好的团队的合作精神，能够引导团队完成整体目标</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6分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是否有较强的责任心，能自始至终坚持，主动完成任务</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6分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工作能力：是否有较强的业务管理和综合管理能力</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4分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工作效率：时间观念是否很强，工作非常有条理，合理安排时间</w:t>
            </w:r>
          </w:p>
        </w:tc>
        <w:tc>
          <w:tcPr>
            <w:tcW w:w="900" w:type="dxa"/>
            <w:shd w:val="clear" w:color="auto" w:fill="auto"/>
          </w:tcPr>
          <w:p>
            <w:pPr>
              <w:spacing w:line="4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4分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restart"/>
            <w:shd w:val="clear" w:color="auto" w:fill="auto"/>
          </w:tcPr>
          <w:p>
            <w:pPr>
              <w:spacing w:line="400" w:lineRule="exact"/>
              <w:ind w:firstLine="103" w:firstLineChars="49"/>
              <w:rPr>
                <w:rFonts w:ascii="宋体" w:hAnsi="宋体" w:eastAsia="宋体" w:cs="Times New Roman"/>
                <w:b/>
                <w:bCs/>
                <w:color w:val="000000"/>
                <w:szCs w:val="21"/>
              </w:rPr>
            </w:pPr>
            <w:r>
              <w:rPr>
                <w:rFonts w:hint="eastAsia" w:ascii="宋体" w:hAnsi="宋体" w:eastAsia="宋体" w:cs="Times New Roman"/>
                <w:b/>
                <w:bCs/>
                <w:color w:val="000000"/>
                <w:szCs w:val="21"/>
              </w:rPr>
              <w:t>日常行为规范（10％）</w:t>
            </w: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自觉遵守和维护公司各项规章制度（考勤制度、卫生管理）</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8分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能遵守公司各项规章制度，但需要有人督导</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6分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偶有迟到，但上班后工作兢兢业业</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4分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纪律观念不强，偶尔违反公司规章制度</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2分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Merge w:val="continue"/>
            <w:shd w:val="clear" w:color="auto" w:fill="auto"/>
          </w:tcPr>
          <w:p>
            <w:pPr>
              <w:spacing w:line="400" w:lineRule="exact"/>
              <w:ind w:firstLine="103" w:firstLineChars="49"/>
              <w:rPr>
                <w:rFonts w:ascii="宋体" w:hAnsi="宋体" w:eastAsia="宋体" w:cs="Times New Roman"/>
                <w:b/>
                <w:bCs/>
                <w:color w:val="000000"/>
                <w:szCs w:val="21"/>
              </w:rPr>
            </w:pPr>
          </w:p>
        </w:tc>
        <w:tc>
          <w:tcPr>
            <w:tcW w:w="5760" w:type="dxa"/>
            <w:gridSpan w:val="5"/>
            <w:shd w:val="clear" w:color="auto" w:fill="auto"/>
          </w:tcPr>
          <w:p>
            <w:pPr>
              <w:spacing w:line="400" w:lineRule="exact"/>
              <w:jc w:val="center"/>
              <w:rPr>
                <w:rFonts w:hint="eastAsia" w:ascii="宋体" w:hAnsi="宋体" w:eastAsia="宋体" w:cs="Times New Roman"/>
                <w:bCs/>
                <w:color w:val="000000"/>
                <w:szCs w:val="21"/>
              </w:rPr>
            </w:pPr>
            <w:r>
              <w:rPr>
                <w:rFonts w:hint="eastAsia"/>
                <w:bCs/>
                <w:szCs w:val="21"/>
              </w:rPr>
              <w:t>经常违反公司制度，被指正时态度傲慢（网络使用规定、5S）</w:t>
            </w:r>
          </w:p>
        </w:tc>
        <w:tc>
          <w:tcPr>
            <w:tcW w:w="900" w:type="dxa"/>
            <w:shd w:val="clear" w:color="auto" w:fill="auto"/>
          </w:tcPr>
          <w:p>
            <w:pPr>
              <w:spacing w:line="400" w:lineRule="exact"/>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0分</w:t>
            </w:r>
          </w:p>
        </w:tc>
        <w:tc>
          <w:tcPr>
            <w:tcW w:w="900" w:type="dxa"/>
            <w:shd w:val="clear" w:color="auto" w:fill="auto"/>
          </w:tcPr>
          <w:p>
            <w:pPr>
              <w:spacing w:line="400" w:lineRule="exact"/>
              <w:rPr>
                <w:rFonts w:ascii="宋体" w:hAnsi="宋体" w:eastAsia="宋体" w:cs="Times New Roman"/>
                <w:b/>
                <w:bCs/>
                <w:color w:val="000000"/>
                <w:szCs w:val="21"/>
              </w:rPr>
            </w:pP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8116" w:type="dxa"/>
            <w:gridSpan w:val="7"/>
            <w:shd w:val="clear" w:color="auto" w:fill="auto"/>
          </w:tcPr>
          <w:p>
            <w:pPr>
              <w:spacing w:line="400" w:lineRule="exact"/>
              <w:rPr>
                <w:rFonts w:hint="eastAsia" w:ascii="宋体" w:hAnsi="宋体" w:eastAsia="宋体" w:cs="Times New Roman"/>
                <w:b/>
                <w:bCs/>
                <w:color w:val="000000"/>
                <w:szCs w:val="21"/>
              </w:rPr>
            </w:pPr>
            <w:r>
              <w:rPr>
                <w:rFonts w:hint="eastAsia" w:ascii="宋体" w:hAnsi="宋体" w:eastAsia="宋体" w:cs="Times New Roman"/>
                <w:b/>
                <w:bCs/>
                <w:color w:val="000000"/>
                <w:szCs w:val="21"/>
              </w:rPr>
              <w:t>本月总计得分</w:t>
            </w:r>
          </w:p>
        </w:tc>
        <w:tc>
          <w:tcPr>
            <w:tcW w:w="1800" w:type="dxa"/>
            <w:gridSpan w:val="2"/>
            <w:shd w:val="clear" w:color="auto" w:fill="auto"/>
          </w:tcPr>
          <w:p>
            <w:pPr>
              <w:spacing w:line="400" w:lineRule="exact"/>
              <w:rPr>
                <w:rFonts w:ascii="宋体" w:hAnsi="宋体" w:eastAsia="宋体" w:cs="Times New Roman"/>
                <w:b/>
                <w:bCs/>
                <w:color w:val="000000"/>
                <w:szCs w:val="21"/>
              </w:rPr>
            </w:pPr>
            <w:r>
              <w:rPr>
                <w:rFonts w:hint="eastAsia" w:ascii="宋体" w:hAnsi="宋体" w:eastAsia="宋体" w:cs="Times New Roman"/>
                <w:bCs/>
                <w:color w:val="000000"/>
                <w:szCs w:val="21"/>
              </w:rPr>
              <w:t xml:space="preserve">             分</w:t>
            </w:r>
          </w:p>
        </w:tc>
        <w:tc>
          <w:tcPr>
            <w:tcW w:w="1141" w:type="dxa"/>
            <w:vMerge w:val="continue"/>
            <w:shd w:val="clear" w:color="auto" w:fill="auto"/>
          </w:tcPr>
          <w:p>
            <w:pPr>
              <w:spacing w:line="400" w:lineRule="exact"/>
              <w:rPr>
                <w:rFonts w:ascii="宋体" w:hAnsi="宋体" w:eastAsia="宋体"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1057" w:type="dxa"/>
            <w:gridSpan w:val="10"/>
            <w:shd w:val="clear" w:color="auto" w:fill="auto"/>
          </w:tcPr>
          <w:p>
            <w:pPr>
              <w:spacing w:line="400" w:lineRule="exact"/>
              <w:rPr>
                <w:rFonts w:ascii="宋体" w:hAnsi="宋体" w:eastAsia="宋体" w:cs="Times New Roman"/>
                <w:b/>
                <w:bCs/>
                <w:color w:val="000000"/>
                <w:szCs w:val="21"/>
              </w:rPr>
            </w:pPr>
            <w:r>
              <w:rPr>
                <w:rFonts w:hint="eastAsia"/>
                <w:b/>
                <w:bCs/>
                <w:sz w:val="18"/>
                <w:szCs w:val="18"/>
              </w:rPr>
              <w:t xml:space="preserve">评价等级：         </w:t>
            </w:r>
            <w:r>
              <w:rPr>
                <w:rFonts w:hint="eastAsia"/>
                <w:bCs/>
                <w:sz w:val="18"/>
                <w:szCs w:val="18"/>
              </w:rPr>
              <w:t>□S90-100分       □A80-89.99分        □B70-79.99分        □C60-60.99分      □D60分以下</w:t>
            </w:r>
          </w:p>
        </w:tc>
      </w:tr>
    </w:tbl>
    <w:p>
      <w:pPr>
        <w:jc w:val="center"/>
        <w:rPr>
          <w:b/>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0030101010101"/>
    <w:charset w:val="86"/>
    <w:family w:val="auto"/>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jc w:val="both"/>
    </w:pPr>
    <w:r>
      <w:rPr>
        <w:rFonts w:hint="eastAsia"/>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B2B"/>
    <w:multiLevelType w:val="multilevel"/>
    <w:tmpl w:val="1E3B7B2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2A"/>
    <w:rsid w:val="00004A42"/>
    <w:rsid w:val="00080A8E"/>
    <w:rsid w:val="00090778"/>
    <w:rsid w:val="00091767"/>
    <w:rsid w:val="000B1A79"/>
    <w:rsid w:val="0010689E"/>
    <w:rsid w:val="00144787"/>
    <w:rsid w:val="00176EAB"/>
    <w:rsid w:val="00277AE1"/>
    <w:rsid w:val="00287AFE"/>
    <w:rsid w:val="002960D1"/>
    <w:rsid w:val="00386A02"/>
    <w:rsid w:val="00392E14"/>
    <w:rsid w:val="003958B9"/>
    <w:rsid w:val="003D42C9"/>
    <w:rsid w:val="0041612F"/>
    <w:rsid w:val="004411E8"/>
    <w:rsid w:val="004E6A13"/>
    <w:rsid w:val="005935C6"/>
    <w:rsid w:val="005B4025"/>
    <w:rsid w:val="00632A2C"/>
    <w:rsid w:val="007B4792"/>
    <w:rsid w:val="00821D4C"/>
    <w:rsid w:val="00864BBC"/>
    <w:rsid w:val="00883DCF"/>
    <w:rsid w:val="00AA6F78"/>
    <w:rsid w:val="00AC08E3"/>
    <w:rsid w:val="00B01E89"/>
    <w:rsid w:val="00B96C82"/>
    <w:rsid w:val="00BA302A"/>
    <w:rsid w:val="00BB0C4A"/>
    <w:rsid w:val="00C14CDC"/>
    <w:rsid w:val="00C5056F"/>
    <w:rsid w:val="00C54C41"/>
    <w:rsid w:val="00CD621A"/>
    <w:rsid w:val="00D64873"/>
    <w:rsid w:val="00E71BC1"/>
    <w:rsid w:val="00EB7595"/>
    <w:rsid w:val="00EC0A1F"/>
    <w:rsid w:val="00F257AD"/>
    <w:rsid w:val="00F52C1C"/>
    <w:rsid w:val="00F60CE6"/>
    <w:rsid w:val="00FC422B"/>
    <w:rsid w:val="9FB9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773</Words>
  <Characters>4408</Characters>
  <Lines>36</Lines>
  <Paragraphs>10</Paragraphs>
  <TotalTime>0</TotalTime>
  <ScaleCrop>false</ScaleCrop>
  <LinksUpToDate>false</LinksUpToDate>
  <CharactersWithSpaces>5171</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方案</cp:category>
  <dcterms:created xsi:type="dcterms:W3CDTF">2012-11-21T11:17:00Z</dcterms:created>
  <dc:creator>颜志杰</dc:creator>
  <cp:keywords>颜志杰</cp:keywords>
  <cp:lastModifiedBy>dae</cp:lastModifiedBy>
  <dcterms:modified xsi:type="dcterms:W3CDTF">2022-04-21T00:35:31Z</dcterms:modified>
  <dc:subject>考核方案</dc:subject>
  <dc:title>设计部绩效考核方案</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