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宋体;SimSun" w:hAnsi="宋体;SimSun" w:cs="宋体;SimSun"/>
        </w:rPr>
      </w:pPr>
      <w:r>
        <w:rPr>
          <w:rFonts w:ascii="宋体;SimSun" w:hAnsi="宋体;SimSun" w:cs="宋体;SimSun"/>
          <w:b/>
          <w:sz w:val="24"/>
        </w:rPr>
        <w:t>人事专员考核评分表（月度）</w:t>
      </w:r>
    </w:p>
    <w:p>
      <w:pPr>
        <w:pStyle w:val="Normal"/>
        <w:jc w:val="end"/>
        <w:rPr>
          <w:rFonts w:ascii="宋体;SimSun" w:hAnsi="宋体;SimSun" w:cs="宋体;SimSun"/>
          <w:b/>
          <w:b/>
        </w:rPr>
      </w:pPr>
      <w:r>
        <w:rPr>
          <w:rFonts w:ascii="宋体;SimSun" w:hAnsi="宋体;SimSun" w:cs="宋体;SimSun"/>
          <w:b/>
        </w:rPr>
        <w:t>考核期间：        年   月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1"/>
        <w:gridCol w:w="227"/>
        <w:gridCol w:w="301"/>
        <w:gridCol w:w="742"/>
        <w:gridCol w:w="577"/>
        <w:gridCol w:w="539"/>
        <w:gridCol w:w="702"/>
        <w:gridCol w:w="838"/>
        <w:gridCol w:w="847"/>
        <w:gridCol w:w="1394"/>
        <w:gridCol w:w="1137"/>
        <w:gridCol w:w="78"/>
        <w:gridCol w:w="371"/>
        <w:gridCol w:w="10"/>
        <w:gridCol w:w="45"/>
        <w:gridCol w:w="418"/>
        <w:gridCol w:w="26"/>
        <w:gridCol w:w="435"/>
      </w:tblGrid>
      <w:tr>
        <w:trPr>
          <w:trHeight w:val="340" w:hRule="atLeast"/>
          <w:cantSplit w:val="true"/>
        </w:trPr>
        <w:tc>
          <w:tcPr>
            <w:tcW w:w="82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姓名</w:t>
            </w:r>
          </w:p>
        </w:tc>
        <w:tc>
          <w:tcPr>
            <w:tcW w:w="2159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岗位</w:t>
            </w:r>
          </w:p>
        </w:tc>
        <w:tc>
          <w:tcPr>
            <w:tcW w:w="4761" w:type="dxa"/>
            <w:gridSpan w:val="10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任务绩效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序号</w:t>
            </w:r>
          </w:p>
        </w:tc>
        <w:tc>
          <w:tcPr>
            <w:tcW w:w="1858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考核项目</w:t>
            </w:r>
          </w:p>
        </w:tc>
        <w:tc>
          <w:tcPr>
            <w:tcW w:w="7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权重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黑体;SimHei" w:hAnsi="黑体;SimHei" w:cs="黑体;SimHei" w:eastAsia="黑体;SimHei"/>
                <w:szCs w:val="21"/>
              </w:rPr>
              <w:t>目标值要求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评分等级</w:t>
            </w:r>
          </w:p>
        </w:tc>
        <w:tc>
          <w:tcPr>
            <w:tcW w:w="1383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858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ind w:start="-4" w:hanging="15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jc w:val="end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eastAsia="黑体;SimHei" w:cs="黑体;SimHei" w:ascii="黑体;SimHei" w:hAnsi="黑体;SimHei"/>
                <w:bCs w:val="false"/>
                <w:szCs w:val="21"/>
              </w:rPr>
            </w:r>
          </w:p>
        </w:tc>
        <w:tc>
          <w:tcPr>
            <w:tcW w:w="1685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eastAsia="黑体;SimHei" w:cs="黑体;SimHei" w:ascii="黑体;SimHei" w:hAnsi="黑体;SimHei"/>
                <w:bCs w:val="false"/>
                <w:szCs w:val="21"/>
              </w:rPr>
            </w:r>
          </w:p>
        </w:tc>
        <w:tc>
          <w:tcPr>
            <w:tcW w:w="2531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自评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上级</w:t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业绩指标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100%</w:t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4" w:hanging="15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招聘达成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eastAsia="黑体;SimHei" w:cs="黑体;SimHei" w:ascii="黑体;SimHei" w:hAnsi="黑体;SimHei"/>
                <w:bCs w:val="false"/>
                <w:szCs w:val="21"/>
              </w:rPr>
              <w:t>20%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提出招聘需求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天内完成，完成需招聘岗位数量</w:t>
            </w:r>
            <w:r>
              <w:rPr>
                <w:rFonts w:eastAsia="黑体;SimHei" w:cs="黑体;SimHei" w:ascii="黑体;SimHei" w:hAnsi="黑体;SimHei"/>
                <w:szCs w:val="21"/>
              </w:rPr>
              <w:t>90%</w:t>
            </w:r>
            <w:r>
              <w:rPr>
                <w:rFonts w:ascii="黑体;SimHei" w:hAnsi="黑体;SimHei" w:cs="黑体;SimHei" w:eastAsia="黑体;SimHei"/>
                <w:szCs w:val="21"/>
              </w:rPr>
              <w:t>以上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黑体;SimHei" w:hAnsi="黑体;SimHei" w:cs="黑体;SimHei" w:eastAsia="黑体;SimHei"/>
                <w:szCs w:val="21"/>
              </w:rPr>
              <w:t>达到目标要求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/>
            </w:pPr>
            <w:r>
              <w:rPr>
                <w:rFonts w:ascii="黑体;SimHei" w:hAnsi="黑体;SimHei" w:cs="黑体;SimHei" w:eastAsia="黑体;SimHei"/>
                <w:szCs w:val="21"/>
              </w:rPr>
              <w:t>在规定时间内完成人员到岗</w:t>
            </w:r>
            <w:r>
              <w:rPr>
                <w:rFonts w:eastAsia="黑体;SimHei" w:cs="黑体;SimHei" w:ascii="黑体;SimHei" w:hAnsi="黑体;SimHei"/>
                <w:szCs w:val="21"/>
              </w:rPr>
              <w:t>85%</w:t>
            </w:r>
            <w:r>
              <w:rPr>
                <w:rFonts w:ascii="黑体;SimHei" w:hAnsi="黑体;SimHei" w:cs="黑体;SimHei" w:eastAsia="黑体;SimHei"/>
                <w:szCs w:val="21"/>
              </w:rPr>
              <w:t>以上得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其余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劳动纠纷解决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20%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劳动纠纷在第一时间解决，不扩大事端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黑体;SimHei" w:hAnsi="黑体;SimHei" w:cs="黑体;SimHei" w:eastAsia="黑体;SimHei"/>
                <w:szCs w:val="21"/>
              </w:rPr>
              <w:t>劳动纠纷解决率</w:t>
            </w:r>
            <w:r>
              <w:rPr>
                <w:rFonts w:eastAsia="黑体;SimHei" w:cs="黑体;SimHei" w:ascii="黑体;SimHei" w:hAnsi="黑体;SimHei"/>
                <w:szCs w:val="21"/>
              </w:rPr>
              <w:t>100%</w:t>
            </w:r>
            <w:r>
              <w:rPr>
                <w:rFonts w:ascii="黑体;SimHei" w:hAnsi="黑体;SimHei" w:cs="黑体;SimHei" w:eastAsia="黑体;SimHei"/>
                <w:szCs w:val="21"/>
              </w:rPr>
              <w:t>，未发生劳动仲裁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 xml:space="preserve">发生劳动仲裁事件 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统计报表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10%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及时上报政府机关、辖区各类统计报表，无差错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达到目标要求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有延误但未造成损失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其余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社保、公积金办理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20%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办理及时、准确，无延误、无遗漏、无查错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 xml:space="preserve">达到目标要求 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 xml:space="preserve">出现小差错，但未造成影响  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ind w:firstLine="105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造成损失或劳动争议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员工奖惩处理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10%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按制度执行，公平公正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按公司制度执行，员工普遍接受得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出现员工重大投诉事件或违章处理事件得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6</w:t>
            </w:r>
          </w:p>
        </w:tc>
        <w:tc>
          <w:tcPr>
            <w:tcW w:w="7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员工关系管理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20%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 xml:space="preserve">员工日常关系维护，提高员工满意义及忠诚度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黑体;SimHei" w:hAnsi="黑体;SimHei" w:cs="黑体;SimHei" w:eastAsia="黑体;SimHei"/>
                <w:szCs w:val="21"/>
              </w:rPr>
              <w:t>员工流失率低于同期得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员工流失率基本与同期持平得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员工流失率低于同期得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238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ascii="黑体;SimHei" w:hAnsi="黑体;SimHei" w:cs="黑体;SimHei" w:eastAsia="黑体;SimHei"/>
                <w:b/>
                <w:szCs w:val="21"/>
              </w:rPr>
              <w:t>加权合计</w:t>
            </w:r>
          </w:p>
        </w:tc>
        <w:tc>
          <w:tcPr>
            <w:tcW w:w="6301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eastAsia="黑体;SimHei" w:cs="黑体;SimHei" w:ascii="黑体;SimHei" w:hAnsi="黑体;SimHei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7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考核指标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权重</w:t>
            </w:r>
          </w:p>
        </w:tc>
        <w:tc>
          <w:tcPr>
            <w:tcW w:w="432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指标说明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考核评分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自评</w:t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上级</w:t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商业保密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50%</w:t>
            </w:r>
          </w:p>
        </w:tc>
        <w:tc>
          <w:tcPr>
            <w:tcW w:w="432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bCs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bCs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</w:t>
            </w:r>
            <w:r>
              <w:rPr>
                <w:rFonts w:ascii="黑体;SimHei" w:hAnsi="黑体;SimHei" w:cs="黑体;SimHei" w:eastAsia="黑体;SimHei"/>
                <w:bCs/>
                <w:color w:val="000000"/>
                <w:szCs w:val="21"/>
              </w:rPr>
              <w:t>明知商业技术及信息的范围及要点</w:t>
            </w:r>
          </w:p>
          <w:p>
            <w:pPr>
              <w:pStyle w:val="Normal"/>
              <w:widowControl/>
              <w:jc w:val="start"/>
              <w:rPr/>
            </w:pPr>
            <w:r>
              <w:rPr>
                <w:rFonts w:eastAsia="黑体;SimHei" w:cs="黑体;SimHei" w:ascii="黑体;SimHei" w:hAnsi="黑体;SimHei"/>
                <w:bCs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</w:t>
            </w:r>
            <w:r>
              <w:rPr>
                <w:rFonts w:ascii="黑体;SimHei" w:hAnsi="黑体;SimHei" w:cs="黑体;SimHei" w:eastAsia="黑体;SimHei"/>
                <w:bCs/>
                <w:color w:val="000000"/>
                <w:szCs w:val="21"/>
              </w:rPr>
              <w:t>工作期间遵守单位保密协议，并积极宣传正面信息</w:t>
            </w:r>
          </w:p>
          <w:p>
            <w:pPr>
              <w:pStyle w:val="Normal"/>
              <w:widowControl/>
              <w:jc w:val="start"/>
              <w:rPr/>
            </w:pPr>
            <w:r>
              <w:rPr>
                <w:rFonts w:eastAsia="黑体;SimHei" w:cs="黑体;SimHei" w:ascii="黑体;SimHei" w:hAnsi="黑体;SimHei"/>
                <w:bCs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</w:t>
            </w:r>
            <w:r>
              <w:rPr>
                <w:rFonts w:ascii="黑体;SimHei" w:hAnsi="黑体;SimHei" w:cs="黑体;SimHei" w:eastAsia="黑体;SimHei"/>
                <w:bCs/>
                <w:color w:val="000000"/>
                <w:szCs w:val="21"/>
              </w:rPr>
              <w:t>不进行商业性信息交易，不透露单位发展的技术及战略</w:t>
            </w:r>
          </w:p>
          <w:p>
            <w:pPr>
              <w:pStyle w:val="Normal"/>
              <w:widowControl/>
              <w:jc w:val="start"/>
              <w:rPr/>
            </w:pPr>
            <w:r>
              <w:rPr>
                <w:rFonts w:eastAsia="黑体;SimHei" w:cs="黑体;SimHei" w:ascii="黑体;SimHei" w:hAnsi="黑体;SimHei"/>
                <w:bCs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</w:t>
            </w:r>
            <w:r>
              <w:rPr>
                <w:rFonts w:ascii="黑体;SimHei" w:hAnsi="黑体;SimHei" w:cs="黑体;SimHei" w:eastAsia="黑体;SimHei"/>
                <w:bCs/>
                <w:color w:val="000000"/>
                <w:szCs w:val="21"/>
              </w:rPr>
              <w:t>维护公司商业机密并有实际案例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bCs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</w:t>
            </w:r>
            <w:r>
              <w:rPr>
                <w:rFonts w:ascii="黑体;SimHei" w:hAnsi="黑体;SimHei" w:cs="黑体;SimHei" w:eastAsia="黑体;SimHei"/>
                <w:bCs/>
                <w:color w:val="000000"/>
                <w:szCs w:val="21"/>
              </w:rPr>
              <w:t>影响他人做好商业保密，离职后五年不脱密的职业操守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30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40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</w:p>
        </w:tc>
        <w:tc>
          <w:tcPr>
            <w:tcW w:w="7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承担责任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50%</w:t>
            </w:r>
          </w:p>
        </w:tc>
        <w:tc>
          <w:tcPr>
            <w:tcW w:w="432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color w:val="000000"/>
                <w:kern w:val="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级：承认结果，而不是强调愿望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级：承担责任，不推卸，不指责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级：着手解决问题，减少业务流程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级：举一反三，改进业务流程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级：做事有预见，有防误设计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30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40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23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b/>
                <w:szCs w:val="21"/>
              </w:rPr>
              <w:t>加权合计</w:t>
            </w:r>
          </w:p>
        </w:tc>
        <w:tc>
          <w:tcPr>
            <w:tcW w:w="6301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总分</w:t>
            </w:r>
          </w:p>
        </w:tc>
        <w:tc>
          <w:tcPr>
            <w:tcW w:w="8687" w:type="dxa"/>
            <w:gridSpan w:val="1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总分</w:t>
            </w:r>
            <w:r>
              <w:rPr>
                <w:rFonts w:eastAsia="黑体;SimHei" w:cs="黑体;SimHei" w:ascii="黑体;SimHei" w:hAnsi="黑体;SimHei"/>
                <w:szCs w:val="21"/>
              </w:rPr>
              <w:t>=</w:t>
            </w:r>
            <w:r>
              <w:rPr>
                <w:rFonts w:ascii="黑体;SimHei" w:hAnsi="黑体;SimHei" w:cs="黑体;SimHei" w:eastAsia="黑体;SimHei"/>
                <w:szCs w:val="21"/>
              </w:rPr>
              <w:t>业绩考核得分</w:t>
            </w:r>
            <w:r>
              <w:rPr>
                <w:rFonts w:eastAsia="黑体;SimHei" w:cs="黑体;SimHei" w:ascii="黑体;SimHei" w:hAnsi="黑体;SimHei"/>
                <w:szCs w:val="21"/>
              </w:rPr>
              <w:t>×85%+</w:t>
            </w:r>
            <w:r>
              <w:rPr>
                <w:rFonts w:ascii="黑体;SimHei" w:hAnsi="黑体;SimHei" w:cs="黑体;SimHei" w:eastAsia="黑体;SimHei"/>
                <w:szCs w:val="21"/>
              </w:rPr>
              <w:t>行为考核得分</w:t>
            </w:r>
            <w:r>
              <w:rPr>
                <w:rFonts w:eastAsia="黑体;SimHei" w:cs="黑体;SimHei" w:ascii="黑体;SimHei" w:hAnsi="黑体;SimHei"/>
                <w:szCs w:val="21"/>
              </w:rPr>
              <w:t>×15%=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考核人</w:t>
            </w:r>
          </w:p>
        </w:tc>
        <w:tc>
          <w:tcPr>
            <w:tcW w:w="8687" w:type="dxa"/>
            <w:gridSpan w:val="17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 xml:space="preserve">    </w:t>
            </w:r>
            <w:r>
              <w:rPr>
                <w:rFonts w:ascii="黑体;SimHei" w:hAnsi="黑体;SimHei" w:cs="黑体;SimHei" w:eastAsia="黑体;SimHei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年    月    日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宋体;SimSun" w:hAnsi="宋体;SimSun"/>
          <w:b/>
          <w:sz w:val="24"/>
        </w:rPr>
      </w:r>
    </w:p>
    <w:p>
      <w:pPr>
        <w:pStyle w:val="Normal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宋体;SimSun" w:hAnsi="宋体;SimSun"/>
          <w:b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/>
    </w:pPr>
    <w:r>
      <w:rPr>
        <w:rFonts w:eastAsia="Times New Roman"/>
      </w:rPr>
      <w:t xml:space="preserve">                                        </w:t>
    </w:r>
    <w:r>
      <w:rPr>
        <w:rFonts w:ascii="黑体;SimHei" w:hAnsi="黑体;SimHei" w:eastAsia="黑体;SimHei"/>
        <w:sz w:val="21"/>
        <w:szCs w:val="21"/>
      </w:rPr>
      <w:t>强大的企业一定是用系统在赚钱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日期"/>
    <w:basedOn w:val="Normal"/>
    <w:next w:val="Normal"/>
    <w:qFormat/>
    <w:pPr/>
    <w:rPr>
      <w:rFonts w:ascii="宋体;SimSun" w:hAnsi="宋体;SimSun" w:cs="宋体;SimSun"/>
      <w:bCs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2009-12-24T23:50:00Z</dcterms:created>
  <dc:creator>User</dc:creator>
  <dc:description/>
  <cp:keywords> </cp:keywords>
  <dc:language>en-US</dc:language>
  <cp:lastModifiedBy>朱 权鑫</cp:lastModifiedBy>
  <dcterms:modified xsi:type="dcterms:W3CDTF">2020-04-16T22:40:00Z</dcterms:modified>
  <cp:revision>168</cp:revision>
  <dc:subject/>
  <dc:title>采购经理考核评分表（月度）</dc:title>
</cp:coreProperties>
</file>