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27" w:after="326"/>
        <w:jc w:val="center"/>
        <w:textAlignment w:val="auto"/>
        <w:rPr>
          <w:rFonts w:ascii="楷体;汉仪楷体KW" w:hAnsi="楷体;汉仪楷体KW" w:eastAsia="楷体;汉仪楷体KW" w:cs="宋体;汉仪书宋二KW"/>
          <w:b/>
          <w:b/>
          <w:bCs/>
          <w:color w:val="000000"/>
        </w:rPr>
      </w:pPr>
      <w:r>
        <w:rPr>
          <w:rFonts w:eastAsia="楷体;汉仪楷体KW" w:cs="宋体;汉仪书宋二KW" w:ascii="楷体;汉仪楷体KW" w:hAnsi="楷体;汉仪楷体KW"/>
          <w:b/>
          <w:bCs/>
          <w:color w:val="000000"/>
          <w:sz w:val="36"/>
        </w:rPr>
        <w:t>360°</w:t>
      </w:r>
      <w:r>
        <w:rPr>
          <w:rFonts w:ascii="楷体;汉仪楷体KW" w:hAnsi="楷体;汉仪楷体KW" w:cs="宋体;汉仪书宋二KW" w:eastAsia="楷体;汉仪楷体KW"/>
          <w:b/>
          <w:bCs/>
          <w:color w:val="000000"/>
          <w:sz w:val="36"/>
        </w:rPr>
        <w:t>评估结果分析报告</w:t>
      </w:r>
    </w:p>
    <w:p>
      <w:pPr>
        <w:pStyle w:val="Normal"/>
        <w:spacing w:lineRule="auto" w:line="360"/>
        <w:jc w:val="center"/>
        <w:rPr>
          <w:rFonts w:cs="宋体;汉仪书宋二KW"/>
        </w:rPr>
      </w:pPr>
      <w:r>
        <w:rPr>
          <w:rFonts w:ascii="楷体;汉仪楷体KW" w:hAnsi="楷体;汉仪楷体KW" w:cs="宋体;汉仪书宋二KW" w:eastAsia="楷体;汉仪楷体KW"/>
          <w:b/>
          <w:bCs/>
          <w:color w:val="000000"/>
          <w:sz w:val="28"/>
        </w:rPr>
        <w:t>被评估者情况简介</w:t>
      </w:r>
    </w:p>
    <w:tbl>
      <w:tblPr>
        <w:tblW w:w="8388" w:type="dxa"/>
        <w:jc w:val="center"/>
        <w:tblInd w:w="0" w:type="dxa"/>
        <w:tblLayout w:type="fixed"/>
        <w:tblCellMar>
          <w:top w:w="113" w:type="dxa"/>
          <w:start w:w="108" w:type="dxa"/>
          <w:bottom w:w="113" w:type="dxa"/>
          <w:end w:w="108" w:type="dxa"/>
        </w:tblCellMar>
      </w:tblPr>
      <w:tblGrid>
        <w:gridCol w:w="2268"/>
        <w:gridCol w:w="1620"/>
        <w:gridCol w:w="2340"/>
        <w:gridCol w:w="2160"/>
      </w:tblGrid>
      <w:tr>
        <w:trPr>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被评估者姓名</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bCs/>
                <w:color w:val="000000"/>
              </w:rPr>
            </w:pPr>
            <w:r>
              <w:rPr>
                <w:rFonts w:ascii="楷体;汉仪楷体KW" w:hAnsi="楷体;汉仪楷体KW" w:cs="宋体;汉仪书宋二KW" w:eastAsia="楷体;汉仪楷体KW"/>
                <w:bCs/>
                <w:color w:val="000000"/>
              </w:rPr>
              <w:t>某员工</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当前部门</w:t>
            </w:r>
            <w:r>
              <w:rPr>
                <w:rFonts w:eastAsia="楷体;汉仪楷体KW" w:cs="宋体;汉仪书宋二KW" w:ascii="楷体;汉仪楷体KW" w:hAnsi="楷体;汉仪楷体KW"/>
                <w:color w:val="000000"/>
              </w:rPr>
              <w:t>/</w:t>
            </w:r>
            <w:r>
              <w:rPr>
                <w:rFonts w:ascii="楷体;汉仪楷体KW" w:hAnsi="楷体;汉仪楷体KW" w:cs="宋体;汉仪书宋二KW" w:eastAsia="楷体;汉仪楷体KW"/>
                <w:color w:val="000000"/>
              </w:rPr>
              <w:t>职位</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r>
          </w:p>
        </w:tc>
      </w:tr>
      <w:tr>
        <w:trPr>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加入公司时间</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直属上司</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r>
          </w:p>
        </w:tc>
      </w:tr>
    </w:tbl>
    <w:p>
      <w:pPr>
        <w:pStyle w:val="Normal"/>
        <w:spacing w:lineRule="auto" w:line="360"/>
        <w:jc w:val="center"/>
        <w:rPr>
          <w:rFonts w:ascii="楷体;汉仪楷体KW" w:hAnsi="楷体;汉仪楷体KW" w:eastAsia="楷体;汉仪楷体KW" w:cs="宋体;汉仪书宋二KW"/>
          <w:bCs/>
          <w:color w:val="000000"/>
        </w:rPr>
      </w:pPr>
      <w:r>
        <w:rPr>
          <w:rFonts w:eastAsia="楷体;汉仪楷体KW" w:cs="楷体;汉仪楷体KW" w:ascii="楷体;汉仪楷体KW" w:hAnsi="楷体;汉仪楷体KW"/>
          <w:b/>
          <w:bCs/>
          <w:color w:val="000000"/>
          <w:sz w:val="28"/>
        </w:rPr>
        <w:t xml:space="preserve"> </w:t>
      </w:r>
      <w:r>
        <w:rPr>
          <w:rFonts w:ascii="楷体;汉仪楷体KW" w:hAnsi="楷体;汉仪楷体KW" w:cs="宋体;汉仪书宋二KW" w:eastAsia="楷体;汉仪楷体KW"/>
          <w:b/>
          <w:bCs/>
          <w:color w:val="000000"/>
          <w:sz w:val="28"/>
        </w:rPr>
        <w:t>评估结果概述</w:t>
      </w:r>
    </w:p>
    <w:p>
      <w:pPr>
        <w:pStyle w:val="Normal"/>
        <w:spacing w:lineRule="auto" w:line="360"/>
        <w:ind w:firstLine="480"/>
        <w:jc w:val="both"/>
        <w:rPr>
          <w:rFonts w:ascii="楷体;汉仪楷体KW" w:hAnsi="楷体;汉仪楷体KW" w:eastAsia="楷体;汉仪楷体KW" w:cs="宋体;汉仪书宋二KW"/>
          <w:color w:val="000000"/>
        </w:rPr>
      </w:pPr>
      <w:r>
        <w:rPr>
          <w:rFonts w:eastAsia="楷体;汉仪楷体KW" w:cs="楷体;汉仪楷体KW" w:ascii="楷体;汉仪楷体KW" w:hAnsi="楷体;汉仪楷体KW"/>
          <w:color w:val="000000"/>
        </w:rPr>
        <w:t xml:space="preserve"> </w:t>
      </w:r>
      <w:r>
        <w:rPr>
          <w:rFonts w:eastAsia="楷体;汉仪楷体KW" w:cs="宋体;汉仪书宋二KW" w:ascii="楷体;汉仪楷体KW" w:hAnsi="楷体;汉仪楷体KW"/>
          <w:color w:val="000000"/>
        </w:rPr>
        <w:t>360°</w:t>
      </w:r>
      <w:r>
        <w:rPr>
          <w:rFonts w:ascii="楷体;汉仪楷体KW" w:hAnsi="楷体;汉仪楷体KW" w:cs="宋体;汉仪书宋二KW" w:eastAsia="楷体;汉仪楷体KW"/>
          <w:color w:val="000000"/>
        </w:rPr>
        <w:t>问卷调查全方位地从管理技能、领导能力、交流技能和公司价值观等方面对您个人的领导和管理技巧进行了评估，以帮助您有效规划自己的职业发展，成为更加出色的管理者和领导者。综合分析您自己、您的上司、同事及下属对您的评估结果，并结合您当前职位的能力要求以及公司整体的发展需求，您的优势能力和当前的发展需要已经被清晰地表现出来。</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评估结果（见附表）显示：您的</w:t>
      </w:r>
      <w:r>
        <w:rPr>
          <w:rFonts w:eastAsia="楷体;汉仪楷体KW" w:cs="宋体;汉仪书宋二KW" w:ascii="楷体;汉仪楷体KW" w:hAnsi="楷体;汉仪楷体KW"/>
          <w:color w:val="000000"/>
        </w:rPr>
        <w:t>Ave</w:t>
      </w:r>
      <w:r>
        <w:rPr>
          <w:rFonts w:ascii="楷体;汉仪楷体KW" w:hAnsi="楷体;汉仪楷体KW" w:cs="宋体;汉仪书宋二KW" w:eastAsia="楷体;汉仪楷体KW"/>
          <w:color w:val="000000"/>
        </w:rPr>
        <w:t>曲线（您上司、同事、下属及自我评估结果的均值）基本上处于</w:t>
      </w:r>
      <w:r>
        <w:rPr>
          <w:rFonts w:eastAsia="楷体;汉仪楷体KW" w:cs="宋体;汉仪书宋二KW" w:ascii="楷体;汉仪楷体KW" w:hAnsi="楷体;汉仪楷体KW"/>
          <w:color w:val="000000"/>
        </w:rPr>
        <w:t>Max50</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Min50</w:t>
      </w:r>
      <w:r>
        <w:rPr>
          <w:rFonts w:ascii="楷体;汉仪楷体KW" w:hAnsi="楷体;汉仪楷体KW" w:cs="宋体;汉仪书宋二KW" w:eastAsia="楷体;汉仪楷体KW"/>
          <w:color w:val="000000"/>
        </w:rPr>
        <w:t>％两曲线间（公司整体中等水平区域）</w:t>
      </w:r>
      <w:r>
        <w:rPr>
          <w:rFonts w:ascii="楷体;汉仪楷体KW" w:hAnsi="楷体;汉仪楷体KW" w:cs="宋体;汉仪书宋二KW" w:eastAsia="楷体;汉仪楷体KW"/>
          <w:bCs/>
          <w:color w:val="000000"/>
        </w:rPr>
        <w:t>，</w:t>
      </w:r>
      <w:r>
        <w:rPr>
          <w:rFonts w:ascii="楷体;汉仪楷体KW" w:hAnsi="楷体;汉仪楷体KW" w:cs="宋体;汉仪书宋二KW" w:eastAsia="楷体;汉仪楷体KW"/>
          <w:color w:val="000000"/>
        </w:rPr>
        <w:t>表明您基本具有良好的领导与管理能力，当然，从评估曲线的大幅波动――特别是您上司的评估曲线――中，您会发现，进一步的职业发展依然需要您在许多能力方面不断改进和发展。</w:t>
      </w:r>
    </w:p>
    <w:p>
      <w:pPr>
        <w:pStyle w:val="Normal"/>
        <w:spacing w:lineRule="auto" w:line="360"/>
        <w:jc w:val="center"/>
        <w:rPr>
          <w:rFonts w:ascii="楷体;汉仪楷体KW" w:hAnsi="楷体;汉仪楷体KW" w:eastAsia="楷体;汉仪楷体KW" w:cs="宋体;汉仪书宋二KW"/>
          <w:bCs/>
          <w:color w:val="000000"/>
        </w:rPr>
      </w:pPr>
      <w:r>
        <w:rPr>
          <w:rFonts w:ascii="楷体;汉仪楷体KW" w:hAnsi="楷体;汉仪楷体KW" w:cs="宋体;汉仪书宋二KW" w:eastAsia="楷体;汉仪楷体KW"/>
          <w:b/>
          <w:bCs/>
          <w:color w:val="000000"/>
          <w:sz w:val="28"/>
        </w:rPr>
        <w:t>评估结果具体分析</w:t>
      </w:r>
    </w:p>
    <w:p>
      <w:pPr>
        <w:pStyle w:val="Normal"/>
        <w:spacing w:lineRule="auto" w:line="360"/>
        <w:ind w:firstLine="480"/>
        <w:jc w:val="both"/>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t>1</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16</w:t>
      </w:r>
      <w:r>
        <w:rPr>
          <w:rFonts w:ascii="楷体;汉仪楷体KW" w:hAnsi="楷体;汉仪楷体KW" w:cs="宋体;汉仪书宋二KW" w:eastAsia="楷体;汉仪楷体KW"/>
          <w:color w:val="000000"/>
        </w:rPr>
        <w:t>种能力（行为）发展状况――绝对分析：相对于公司整体平均水平的上限（</w:t>
      </w:r>
      <w:r>
        <w:rPr>
          <w:rFonts w:eastAsia="楷体;汉仪楷体KW" w:cs="宋体;汉仪书宋二KW" w:ascii="楷体;汉仪楷体KW" w:hAnsi="楷体;汉仪楷体KW"/>
          <w:color w:val="000000"/>
        </w:rPr>
        <w:t>max50</w:t>
      </w:r>
      <w:r>
        <w:rPr>
          <w:rFonts w:ascii="楷体;汉仪楷体KW" w:hAnsi="楷体;汉仪楷体KW" w:cs="宋体;汉仪书宋二KW" w:eastAsia="楷体;汉仪楷体KW"/>
          <w:color w:val="000000"/>
        </w:rPr>
        <w:t>％曲线），你的</w:t>
      </w:r>
      <w:r>
        <w:rPr>
          <w:rFonts w:eastAsia="楷体;汉仪楷体KW" w:cs="宋体;汉仪书宋二KW" w:ascii="楷体;汉仪楷体KW" w:hAnsi="楷体;汉仪楷体KW"/>
          <w:color w:val="000000"/>
        </w:rPr>
        <w:t>Ave</w:t>
      </w:r>
      <w:r>
        <w:rPr>
          <w:rFonts w:ascii="楷体;汉仪楷体KW" w:hAnsi="楷体;汉仪楷体KW" w:cs="宋体;汉仪书宋二KW" w:eastAsia="楷体;汉仪楷体KW"/>
          <w:color w:val="000000"/>
        </w:rPr>
        <w:t>曲线走势形成了您个人绝对的优势、中等和较弱能力（行为）。</w:t>
      </w:r>
    </w:p>
    <w:p>
      <w:pPr>
        <w:pStyle w:val="Normal"/>
        <w:spacing w:lineRule="auto" w:line="360"/>
        <w:ind w:firstLine="480"/>
        <w:jc w:val="both"/>
        <w:rPr>
          <w:rFonts w:ascii="楷体;汉仪楷体KW" w:hAnsi="楷体;汉仪楷体KW" w:eastAsia="楷体;汉仪楷体KW" w:cs="宋体;汉仪书宋二KW"/>
          <w:vanish/>
          <w:color w:val="000000"/>
        </w:rPr>
      </w:pP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1</w:t>
      </w:r>
      <w:r>
        <w:rPr>
          <w:rFonts w:ascii="楷体;汉仪楷体KW" w:hAnsi="楷体;汉仪楷体KW" w:cs="宋体;汉仪书宋二KW" w:eastAsia="楷体;汉仪楷体KW"/>
          <w:color w:val="000000"/>
        </w:rPr>
        <w:t>）绝对优势能力（行为）：</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vanish/>
          <w:color w:val="000000"/>
        </w:rPr>
      </w:pPr>
      <w:r>
        <w:rPr>
          <w:rFonts w:ascii="楷体;汉仪楷体KW" w:hAnsi="楷体;汉仪楷体KW" w:cs="宋体;汉仪书宋二KW" w:eastAsia="楷体;汉仪楷体KW"/>
          <w:color w:val="000000"/>
        </w:rPr>
        <w:t>无</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2</w:t>
      </w:r>
      <w:r>
        <w:rPr>
          <w:rFonts w:ascii="楷体;汉仪楷体KW" w:hAnsi="楷体;汉仪楷体KW" w:cs="宋体;汉仪书宋二KW" w:eastAsia="楷体;汉仪楷体KW"/>
          <w:color w:val="000000"/>
        </w:rPr>
        <w:t>）中等能力（行为）：</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rPr>
      </w:pPr>
      <w:r>
        <w:rPr>
          <w:rFonts w:eastAsia="楷体;汉仪楷体KW" w:cs="楷体;汉仪楷体KW" w:ascii="楷体;汉仪楷体KW" w:hAnsi="楷体;汉仪楷体KW"/>
          <w:color w:val="000000"/>
        </w:rPr>
        <w:t>“</w:t>
      </w:r>
      <w:r>
        <w:rPr>
          <w:rFonts w:ascii="楷体;汉仪楷体KW" w:hAnsi="楷体;汉仪楷体KW" w:cs="宋体;汉仪书宋二KW" w:eastAsia="楷体;汉仪楷体KW"/>
          <w:color w:val="000000"/>
        </w:rPr>
        <w:t>设立目标，建立计划”（</w:t>
      </w:r>
      <w:r>
        <w:rPr>
          <w:rFonts w:eastAsia="楷体;汉仪楷体KW" w:cs="宋体;汉仪书宋二KW" w:ascii="楷体;汉仪楷体KW" w:hAnsi="楷体;汉仪楷体KW"/>
          <w:color w:val="000000"/>
          <w:lang w:val="de-DE"/>
        </w:rPr>
        <w:t>Establish Goals and Plans</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lang w:val="de-DE"/>
        </w:rPr>
        <w:t>EG</w:t>
      </w:r>
      <w:r>
        <w:rPr>
          <w:rFonts w:ascii="楷体;汉仪楷体KW" w:hAnsi="楷体;汉仪楷体KW" w:cs="宋体;汉仪书宋二KW" w:eastAsia="楷体;汉仪楷体KW"/>
          <w:color w:val="000000"/>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rPr>
      </w:pPr>
      <w:r>
        <w:rPr>
          <w:rFonts w:eastAsia="楷体;汉仪楷体KW" w:cs="楷体;汉仪楷体KW" w:ascii="楷体;汉仪楷体KW" w:hAnsi="楷体;汉仪楷体KW"/>
          <w:color w:val="000000"/>
        </w:rPr>
        <w:t>“</w:t>
      </w:r>
      <w:r>
        <w:rPr>
          <w:rFonts w:ascii="楷体;汉仪楷体KW" w:hAnsi="楷体;汉仪楷体KW" w:cs="宋体;汉仪书宋二KW" w:eastAsia="楷体;汉仪楷体KW"/>
          <w:color w:val="000000"/>
        </w:rPr>
        <w:t>管理的实施”（</w:t>
      </w:r>
      <w:r>
        <w:rPr>
          <w:rFonts w:eastAsia="楷体;汉仪楷体KW" w:cs="宋体;汉仪书宋二KW" w:ascii="楷体;汉仪楷体KW" w:hAnsi="楷体;汉仪楷体KW"/>
          <w:color w:val="000000"/>
          <w:lang w:val="de-DE"/>
        </w:rPr>
        <w:t>Manage Execution</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lang w:val="de-DE"/>
        </w:rPr>
        <w:t>ME</w:t>
      </w:r>
      <w:r>
        <w:rPr>
          <w:rFonts w:ascii="楷体;汉仪楷体KW" w:hAnsi="楷体;汉仪楷体KW" w:cs="宋体;汉仪书宋二KW" w:eastAsia="楷体;汉仪楷体KW"/>
          <w:color w:val="000000"/>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rPr>
      </w:pPr>
      <w:r>
        <w:rPr>
          <w:rFonts w:eastAsia="楷体;汉仪楷体KW" w:cs="楷体;汉仪楷体KW" w:ascii="楷体;汉仪楷体KW" w:hAnsi="楷体;汉仪楷体KW"/>
          <w:color w:val="000000"/>
        </w:rPr>
        <w:t>“</w:t>
      </w:r>
      <w:r>
        <w:rPr>
          <w:rFonts w:ascii="楷体;汉仪楷体KW" w:hAnsi="楷体;汉仪楷体KW" w:cs="宋体;汉仪书宋二KW" w:eastAsia="楷体;汉仪楷体KW"/>
          <w:color w:val="000000"/>
        </w:rPr>
        <w:t>提供方向”（</w:t>
      </w:r>
      <w:r>
        <w:rPr>
          <w:rFonts w:eastAsia="楷体;汉仪楷体KW" w:cs="宋体;汉仪书宋二KW" w:ascii="楷体;汉仪楷体KW" w:hAnsi="楷体;汉仪楷体KW"/>
          <w:color w:val="000000"/>
        </w:rPr>
        <w:t>Provide Direction</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PD</w:t>
      </w:r>
      <w:r>
        <w:rPr>
          <w:rFonts w:ascii="楷体;汉仪楷体KW" w:hAnsi="楷体;汉仪楷体KW" w:cs="宋体;汉仪书宋二KW" w:eastAsia="楷体;汉仪楷体KW"/>
          <w:color w:val="000000"/>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rPr>
        <w:t>“</w:t>
      </w:r>
      <w:r>
        <w:rPr>
          <w:rFonts w:ascii="楷体;汉仪楷体KW" w:hAnsi="楷体;汉仪楷体KW" w:cs="宋体;汉仪书宋二KW" w:eastAsia="楷体;汉仪楷体KW"/>
          <w:color w:val="000000"/>
        </w:rPr>
        <w:t>领导果断”（</w:t>
      </w:r>
      <w:r>
        <w:rPr>
          <w:rFonts w:eastAsia="楷体;汉仪楷体KW" w:cs="宋体;汉仪书宋二KW" w:ascii="楷体;汉仪楷体KW" w:hAnsi="楷体;汉仪楷体KW"/>
          <w:color w:val="000000"/>
          <w:lang w:val="de-DE"/>
        </w:rPr>
        <w:t>Lead Courageously</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lang w:val="de-DE"/>
        </w:rPr>
        <w:t>LC</w:t>
      </w:r>
      <w:r>
        <w:rPr>
          <w:rFonts w:ascii="楷体;汉仪楷体KW" w:hAnsi="楷体;汉仪楷体KW" w:cs="宋体;汉仪书宋二KW" w:eastAsia="楷体;汉仪楷体KW"/>
          <w:color w:val="000000"/>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rPr>
        <w:t>“</w:t>
      </w:r>
      <w:r>
        <w:rPr>
          <w:rFonts w:ascii="楷体;汉仪楷体KW" w:hAnsi="楷体;汉仪楷体KW" w:cs="宋体;汉仪书宋二KW" w:eastAsia="楷体;汉仪楷体KW"/>
          <w:color w:val="000000"/>
        </w:rPr>
        <w:t>最终结果驱动”（</w:t>
      </w:r>
      <w:r>
        <w:rPr>
          <w:rFonts w:eastAsia="楷体;汉仪楷体KW" w:cs="宋体;汉仪书宋二KW" w:ascii="楷体;汉仪楷体KW" w:hAnsi="楷体;汉仪楷体KW"/>
          <w:color w:val="000000"/>
        </w:rPr>
        <w:t>Drive for Results</w:t>
      </w:r>
      <w:r>
        <w:rPr>
          <w:rFonts w:ascii="楷体;汉仪楷体KW" w:hAnsi="楷体;汉仪楷体KW" w:cs="宋体;汉仪书宋二KW" w:eastAsia="楷体;汉仪楷体KW"/>
          <w:color w:val="000000"/>
        </w:rPr>
        <w:t xml:space="preserve">， </w:t>
      </w:r>
      <w:r>
        <w:rPr>
          <w:rFonts w:eastAsia="楷体;汉仪楷体KW" w:cs="宋体;汉仪书宋二KW" w:ascii="楷体;汉仪楷体KW" w:hAnsi="楷体;汉仪楷体KW"/>
          <w:color w:val="000000"/>
        </w:rPr>
        <w:t>DR</w:t>
      </w:r>
      <w:r>
        <w:rPr>
          <w:rFonts w:ascii="楷体;汉仪楷体KW" w:hAnsi="楷体;汉仪楷体KW" w:cs="宋体;汉仪书宋二KW" w:eastAsia="楷体;汉仪楷体KW"/>
          <w:color w:val="000000"/>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eastAsia="en-US"/>
        </w:rPr>
      </w:pPr>
      <w:r>
        <w:rPr>
          <w:rFonts w:eastAsia="楷体;汉仪楷体KW" w:cs="楷体;汉仪楷体KW" w:ascii="楷体;汉仪楷体KW" w:hAnsi="楷体;汉仪楷体KW"/>
          <w:color w:val="000000"/>
        </w:rPr>
        <w:t>“</w:t>
      </w:r>
      <w:r>
        <w:rPr>
          <w:rFonts w:eastAsia="楷体;汉仪楷体KW" w:cs="楷体;汉仪楷体KW" w:ascii="楷体;汉仪楷体KW" w:hAnsi="楷体;汉仪楷体KW"/>
          <w:color w:val="000000"/>
          <w:lang w:val="de-DE"/>
        </w:rPr>
        <w:t xml:space="preserve"> </w:t>
      </w:r>
      <w:r>
        <w:rPr>
          <w:rFonts w:ascii="楷体;汉仪楷体KW" w:hAnsi="楷体;汉仪楷体KW" w:cs="宋体;汉仪书宋二KW" w:eastAsia="楷体;汉仪楷体KW"/>
          <w:color w:val="000000"/>
        </w:rPr>
        <w:t>影响他人”（</w:t>
      </w:r>
      <w:r>
        <w:rPr>
          <w:rFonts w:eastAsia="楷体;汉仪楷体KW" w:cs="宋体;汉仪书宋二KW" w:ascii="楷体;汉仪楷体KW" w:hAnsi="楷体;汉仪楷体KW"/>
          <w:color w:val="000000"/>
          <w:lang w:val="de-DE"/>
        </w:rPr>
        <w:t>Influence Others</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lang w:val="de-DE"/>
        </w:rPr>
        <w:t>IO</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eastAsia="en-US"/>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激励他人</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Motovate Others</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MO</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指导与发展</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Coach and Develop</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CD</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支持变化</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Champion Change</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CC</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形成开放式沟通</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Foaster Open Communication</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FO</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管理沟通</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Communicate Managerially</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CM</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vanish/>
          <w:color w:val="000000"/>
          <w:lang w:val="de-DE" w:eastAsia="en-US"/>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lang w:val="de-DE"/>
        </w:rPr>
        <w:t>运作</w:t>
      </w:r>
      <w:r>
        <w:rPr>
          <w:rFonts w:ascii="楷体;汉仪楷体KW" w:hAnsi="楷体;汉仪楷体KW" w:cs="宋体;汉仪书宋二KW" w:eastAsia="楷体;汉仪楷体KW"/>
          <w:color w:val="000000"/>
        </w:rPr>
        <w:t>高效</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Perform with high Efficiency</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PE</w:t>
      </w:r>
    </w:p>
    <w:p>
      <w:pPr>
        <w:pStyle w:val="Normal"/>
        <w:numPr>
          <w:ilvl w:val="0"/>
          <w:numId w:val="2"/>
        </w:numPr>
        <w:tabs>
          <w:tab w:val="clear" w:pos="210"/>
          <w:tab w:val="left" w:pos="709" w:leader="none"/>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创新精神</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Innovate</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IN</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与公司共同成长</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Grow with the Company</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GC</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rPr>
        <w:t>客户第一</w:t>
      </w:r>
      <w:r>
        <w:rPr>
          <w:rFonts w:eastAsia="楷体;汉仪楷体KW" w:cs="宋体;汉仪书宋二KW" w:ascii="楷体;汉仪楷体KW" w:hAnsi="楷体;汉仪楷体KW"/>
          <w:color w:val="000000"/>
          <w:lang w:val="de-DE"/>
        </w:rPr>
        <w:t>/</w:t>
      </w:r>
      <w:r>
        <w:rPr>
          <w:rFonts w:ascii="楷体;汉仪楷体KW" w:hAnsi="楷体;汉仪楷体KW" w:cs="宋体;汉仪书宋二KW" w:eastAsia="楷体;汉仪楷体KW"/>
          <w:color w:val="000000"/>
        </w:rPr>
        <w:t>注重质量</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Focus on Customer/ Quality</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FC</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eastAsia="楷体;汉仪楷体KW" w:cs="楷体;汉仪楷体KW" w:ascii="楷体;汉仪楷体KW" w:hAnsi="楷体;汉仪楷体KW"/>
          <w:color w:val="000000"/>
          <w:lang w:val="de-DE"/>
        </w:rPr>
        <w:t>“</w:t>
      </w:r>
      <w:r>
        <w:rPr>
          <w:rFonts w:ascii="楷体;汉仪楷体KW" w:hAnsi="楷体;汉仪楷体KW" w:cs="宋体;汉仪书宋二KW" w:eastAsia="楷体;汉仪楷体KW"/>
          <w:color w:val="000000"/>
          <w:lang w:val="de-DE"/>
        </w:rPr>
        <w:t>形成</w:t>
      </w:r>
      <w:r>
        <w:rPr>
          <w:rFonts w:ascii="楷体;汉仪楷体KW" w:hAnsi="楷体;汉仪楷体KW" w:cs="宋体;汉仪书宋二KW" w:eastAsia="楷体;汉仪楷体KW"/>
          <w:color w:val="000000"/>
        </w:rPr>
        <w:t>团队精神</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Foster Team Work</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FT</w:t>
      </w:r>
      <w:r>
        <w:rPr>
          <w:rFonts w:ascii="楷体;汉仪楷体KW" w:hAnsi="楷体;汉仪楷体KW" w:cs="宋体;汉仪书宋二KW" w:eastAsia="楷体;汉仪楷体KW"/>
          <w:color w:val="000000"/>
          <w:lang w:val="de-DE"/>
        </w:rPr>
        <w:t>）</w:t>
      </w:r>
    </w:p>
    <w:p>
      <w:pPr>
        <w:pStyle w:val="Normal"/>
        <w:spacing w:lineRule="auto" w:line="360"/>
        <w:ind w:firstLine="480"/>
        <w:jc w:val="both"/>
        <w:rPr>
          <w:rFonts w:ascii="楷体;汉仪楷体KW" w:hAnsi="楷体;汉仪楷体KW" w:eastAsia="楷体;汉仪楷体KW" w:cs="宋体;汉仪书宋二KW"/>
          <w:color w:val="000000"/>
          <w:lang w:val="de-DE"/>
        </w:rPr>
      </w:pP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color w:val="000000"/>
          <w:lang w:val="de-DE"/>
        </w:rPr>
        <w:t>3</w:t>
      </w:r>
      <w:r>
        <w:rPr>
          <w:rFonts w:ascii="楷体;汉仪楷体KW" w:hAnsi="楷体;汉仪楷体KW" w:cs="宋体;汉仪书宋二KW" w:eastAsia="楷体;汉仪楷体KW"/>
          <w:color w:val="000000"/>
          <w:lang w:val="de-DE"/>
        </w:rPr>
        <w:t>）</w:t>
      </w:r>
      <w:r>
        <w:rPr>
          <w:rFonts w:ascii="楷体;汉仪楷体KW" w:hAnsi="楷体;汉仪楷体KW" w:cs="宋体;汉仪书宋二KW" w:eastAsia="楷体;汉仪楷体KW"/>
          <w:color w:val="000000"/>
        </w:rPr>
        <w:t>绝对较弱能力</w:t>
      </w:r>
      <w:r>
        <w:rPr>
          <w:rFonts w:ascii="楷体;汉仪楷体KW" w:hAnsi="楷体;汉仪楷体KW" w:cs="宋体;汉仪书宋二KW" w:eastAsia="楷体;汉仪楷体KW"/>
          <w:color w:val="000000"/>
          <w:lang w:val="de-DE"/>
        </w:rPr>
        <w:t>（</w:t>
      </w:r>
      <w:r>
        <w:rPr>
          <w:rFonts w:ascii="楷体;汉仪楷体KW" w:hAnsi="楷体;汉仪楷体KW" w:cs="宋体;汉仪书宋二KW" w:eastAsia="楷体;汉仪楷体KW"/>
          <w:color w:val="000000"/>
        </w:rPr>
        <w:t>行为</w:t>
      </w:r>
      <w:r>
        <w:rPr>
          <w:rFonts w:ascii="楷体;汉仪楷体KW" w:hAnsi="楷体;汉仪楷体KW" w:cs="宋体;汉仪书宋二KW" w:eastAsia="楷体;汉仪楷体KW"/>
          <w:color w:val="000000"/>
          <w:lang w:val="de-DE"/>
        </w:rPr>
        <w:t>）：</w:t>
      </w:r>
    </w:p>
    <w:p>
      <w:pPr>
        <w:pStyle w:val="Normal"/>
        <w:numPr>
          <w:ilvl w:val="0"/>
          <w:numId w:val="3"/>
        </w:numPr>
        <w:tabs>
          <w:tab w:val="clear" w:pos="210"/>
        </w:tabs>
        <w:spacing w:lineRule="auto" w:line="360"/>
        <w:ind w:start="0" w:firstLine="480"/>
        <w:jc w:val="both"/>
        <w:rPr>
          <w:rFonts w:ascii="楷体;汉仪楷体KW" w:hAnsi="楷体;汉仪楷体KW" w:eastAsia="楷体;汉仪楷体KW" w:cs="宋体;汉仪书宋二KW"/>
          <w:color w:val="000000"/>
          <w:lang w:val="de-DE"/>
        </w:rPr>
      </w:pPr>
      <w:r>
        <w:rPr>
          <w:rFonts w:ascii="楷体;汉仪楷体KW" w:hAnsi="楷体;汉仪楷体KW" w:cs="宋体;汉仪书宋二KW" w:eastAsia="楷体;汉仪楷体KW"/>
          <w:color w:val="000000"/>
          <w:lang w:val="de-DE"/>
        </w:rPr>
        <w:t>无</w:t>
      </w:r>
    </w:p>
    <w:p>
      <w:pPr>
        <w:pStyle w:val="Normal"/>
        <w:spacing w:lineRule="auto" w:line="360"/>
        <w:ind w:firstLine="480"/>
        <w:jc w:val="both"/>
        <w:rPr>
          <w:rFonts w:ascii="楷体;汉仪楷体KW" w:hAnsi="楷体;汉仪楷体KW" w:eastAsia="楷体;汉仪楷体KW" w:cs="宋体;汉仪书宋二KW"/>
          <w:color w:val="000000"/>
          <w:lang w:val="de-DE"/>
        </w:rPr>
      </w:pPr>
      <w:r>
        <w:rPr>
          <w:rFonts w:eastAsia="楷体;汉仪楷体KW" w:cs="宋体;汉仪书宋二KW" w:ascii="楷体;汉仪楷体KW" w:hAnsi="楷体;汉仪楷体KW"/>
          <w:color w:val="000000"/>
          <w:lang w:val="de-DE"/>
        </w:rPr>
        <w:t>2</w:t>
      </w:r>
      <w:r>
        <w:rPr>
          <w:rFonts w:ascii="楷体;汉仪楷体KW" w:hAnsi="楷体;汉仪楷体KW" w:cs="宋体;汉仪书宋二KW" w:eastAsia="楷体;汉仪楷体KW"/>
          <w:color w:val="000000"/>
        </w:rPr>
        <w:t>、对于您当前的职位最为重要的</w:t>
      </w:r>
      <w:r>
        <w:rPr>
          <w:rFonts w:eastAsia="楷体;汉仪楷体KW" w:cs="宋体;汉仪书宋二KW" w:ascii="楷体;汉仪楷体KW" w:hAnsi="楷体;汉仪楷体KW"/>
          <w:color w:val="000000"/>
          <w:lang w:val="de-DE"/>
        </w:rPr>
        <w:t>4</w:t>
      </w:r>
      <w:r>
        <w:rPr>
          <w:rFonts w:ascii="楷体;汉仪楷体KW" w:hAnsi="楷体;汉仪楷体KW" w:cs="宋体;汉仪书宋二KW" w:eastAsia="楷体;汉仪楷体KW"/>
          <w:color w:val="000000"/>
        </w:rPr>
        <w:t>种能力</w:t>
      </w:r>
      <w:r>
        <w:rPr>
          <w:rFonts w:ascii="楷体;汉仪楷体KW" w:hAnsi="楷体;汉仪楷体KW" w:cs="宋体;汉仪书宋二KW" w:eastAsia="楷体;汉仪楷体KW"/>
          <w:color w:val="000000"/>
          <w:lang w:val="de-DE"/>
        </w:rPr>
        <w:t>（</w:t>
      </w:r>
      <w:r>
        <w:rPr>
          <w:rFonts w:eastAsia="楷体;汉仪楷体KW" w:cs="宋体;汉仪书宋二KW" w:ascii="楷体;汉仪楷体KW" w:hAnsi="楷体;汉仪楷体KW"/>
          <w:bCs/>
          <w:color w:val="000000"/>
          <w:lang w:val="de-DE"/>
        </w:rPr>
        <w:t>TF</w:t>
      </w:r>
      <w:r>
        <w:rPr>
          <w:rFonts w:ascii="楷体;汉仪楷体KW" w:hAnsi="楷体;汉仪楷体KW" w:cs="宋体;汉仪书宋二KW" w:eastAsia="楷体;汉仪楷体KW"/>
          <w:color w:val="000000"/>
          <w:lang w:val="de-DE"/>
        </w:rPr>
        <w:t>）：</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基于职位分析及您的自评和您的上司反馈，对于您当前的职位（而不是您自己）来讲，在所有的这</w:t>
      </w:r>
      <w:r>
        <w:rPr>
          <w:rFonts w:eastAsia="楷体;汉仪楷体KW" w:cs="宋体;汉仪书宋二KW" w:ascii="楷体;汉仪楷体KW" w:hAnsi="楷体;汉仪楷体KW"/>
          <w:color w:val="000000"/>
        </w:rPr>
        <w:t>16</w:t>
      </w:r>
      <w:r>
        <w:rPr>
          <w:rFonts w:ascii="楷体;汉仪楷体KW" w:hAnsi="楷体;汉仪楷体KW" w:cs="宋体;汉仪书宋二KW" w:eastAsia="楷体;汉仪楷体KW"/>
          <w:color w:val="000000"/>
        </w:rPr>
        <w:t>种能力（行为）当中，结果驱动（</w:t>
      </w:r>
      <w:r>
        <w:rPr>
          <w:rFonts w:eastAsia="楷体;汉仪楷体KW" w:cs="宋体;汉仪书宋二KW" w:ascii="楷体;汉仪楷体KW" w:hAnsi="楷体;汉仪楷体KW"/>
          <w:color w:val="000000"/>
        </w:rPr>
        <w:t>DR</w:t>
      </w:r>
      <w:r>
        <w:rPr>
          <w:rFonts w:ascii="楷体;汉仪楷体KW" w:hAnsi="楷体;汉仪楷体KW" w:cs="宋体;汉仪书宋二KW" w:eastAsia="楷体;汉仪楷体KW"/>
          <w:color w:val="000000"/>
        </w:rPr>
        <w:t>）、与公司共同成长（</w:t>
      </w:r>
      <w:r>
        <w:rPr>
          <w:rFonts w:eastAsia="楷体;汉仪楷体KW" w:cs="宋体;汉仪书宋二KW" w:ascii="楷体;汉仪楷体KW" w:hAnsi="楷体;汉仪楷体KW"/>
          <w:color w:val="000000"/>
        </w:rPr>
        <w:t>GC</w:t>
      </w:r>
      <w:r>
        <w:rPr>
          <w:rFonts w:ascii="楷体;汉仪楷体KW" w:hAnsi="楷体;汉仪楷体KW" w:cs="宋体;汉仪书宋二KW" w:eastAsia="楷体;汉仪楷体KW"/>
          <w:color w:val="000000"/>
        </w:rPr>
        <w:t>）、提供方向（</w:t>
      </w:r>
      <w:r>
        <w:rPr>
          <w:rFonts w:eastAsia="楷体;汉仪楷体KW" w:cs="宋体;汉仪书宋二KW" w:ascii="楷体;汉仪楷体KW" w:hAnsi="楷体;汉仪楷体KW"/>
          <w:color w:val="000000"/>
        </w:rPr>
        <w:t>PD</w:t>
      </w:r>
      <w:r>
        <w:rPr>
          <w:rFonts w:ascii="楷体;汉仪楷体KW" w:hAnsi="楷体;汉仪楷体KW" w:cs="宋体;汉仪书宋二KW" w:eastAsia="楷体;汉仪楷体KW"/>
          <w:color w:val="000000"/>
        </w:rPr>
        <w:t>）和运作高效（</w:t>
      </w:r>
      <w:r>
        <w:rPr>
          <w:rFonts w:eastAsia="楷体;汉仪楷体KW" w:cs="宋体;汉仪书宋二KW" w:ascii="楷体;汉仪楷体KW" w:hAnsi="楷体;汉仪楷体KW"/>
          <w:color w:val="000000"/>
        </w:rPr>
        <w:t>PE</w:t>
      </w:r>
      <w:r>
        <w:rPr>
          <w:rFonts w:ascii="楷体;汉仪楷体KW" w:hAnsi="楷体;汉仪楷体KW" w:cs="宋体;汉仪书宋二KW" w:eastAsia="楷体;汉仪楷体KW"/>
          <w:color w:val="000000"/>
        </w:rPr>
        <w:t>）等四项能力（行为）最为重要。</w:t>
      </w:r>
    </w:p>
    <w:p>
      <w:pPr>
        <w:pStyle w:val="Normal"/>
        <w:spacing w:lineRule="auto" w:line="360"/>
        <w:ind w:firstLine="480"/>
        <w:jc w:val="both"/>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t>3</w:t>
      </w:r>
      <w:r>
        <w:rPr>
          <w:rFonts w:ascii="楷体;汉仪楷体KW" w:hAnsi="楷体;汉仪楷体KW" w:cs="宋体;汉仪书宋二KW" w:eastAsia="楷体;汉仪楷体KW"/>
          <w:color w:val="000000"/>
        </w:rPr>
        <w:t>、发展和改进需求分析：</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如下四格表所示，被评估的所有能力（行为）中受关注的重点应该是被列于该表中的属于</w:t>
      </w:r>
      <w:r>
        <w:rPr>
          <w:rFonts w:eastAsia="楷体;汉仪楷体KW" w:cs="宋体;汉仪书宋二KW" w:ascii="楷体;汉仪楷体KW" w:hAnsi="楷体;汉仪楷体KW"/>
          <w:color w:val="000000"/>
        </w:rPr>
        <w:t>TF</w:t>
      </w:r>
      <w:r>
        <w:rPr>
          <w:rFonts w:ascii="楷体;汉仪楷体KW" w:hAnsi="楷体;汉仪楷体KW" w:cs="宋体;汉仪书宋二KW" w:eastAsia="楷体;汉仪楷体KW"/>
          <w:color w:val="000000"/>
        </w:rPr>
        <w:t>的优势和不足：</w:t>
      </w:r>
    </w:p>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b/>
          <w:bCs/>
          <w:color w:val="000000"/>
          <w:sz w:val="28"/>
        </w:rPr>
        <w:t>四格评估表</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根据结果表和四格评估表显示（参见</w:t>
      </w:r>
      <w:r>
        <w:rPr>
          <w:rFonts w:eastAsia="楷体;汉仪楷体KW" w:cs="宋体;汉仪书宋二KW" w:ascii="楷体;汉仪楷体KW" w:hAnsi="楷体;汉仪楷体KW"/>
          <w:color w:val="000000"/>
        </w:rPr>
        <w:t>max50</w:t>
      </w:r>
      <w:r>
        <w:rPr>
          <w:rFonts w:ascii="楷体;汉仪楷体KW" w:hAnsi="楷体;汉仪楷体KW" w:cs="宋体;汉仪书宋二KW" w:eastAsia="楷体;汉仪楷体KW"/>
          <w:color w:val="000000"/>
        </w:rPr>
        <w:t>％和</w:t>
      </w:r>
      <w:r>
        <w:rPr>
          <w:rFonts w:eastAsia="楷体;汉仪楷体KW" w:cs="宋体;汉仪书宋二KW" w:ascii="楷体;汉仪楷体KW" w:hAnsi="楷体;汉仪楷体KW"/>
          <w:color w:val="000000"/>
        </w:rPr>
        <w:t>AVE</w:t>
      </w:r>
      <w:r>
        <w:rPr>
          <w:rFonts w:ascii="楷体;汉仪楷体KW" w:hAnsi="楷体;汉仪楷体KW" w:cs="宋体;汉仪书宋二KW" w:eastAsia="楷体;汉仪楷体KW"/>
          <w:color w:val="000000"/>
        </w:rPr>
        <w:t>两曲线）： 对于您的职位非常重要的能力，您的发展水平中等，与其他能力相比并未显示出优势。这都有待您在今后的职业发展中，进一步改善和发挥这些能力</w:t>
      </w:r>
      <w:r>
        <w:rPr>
          <w:rFonts w:eastAsia="楷体;汉仪楷体KW" w:cs="宋体;汉仪书宋二KW" w:ascii="楷体;汉仪楷体KW" w:hAnsi="楷体;汉仪楷体KW"/>
          <w:color w:val="000000"/>
        </w:rPr>
        <w:t>/</w:t>
      </w:r>
      <w:r>
        <w:rPr>
          <w:rFonts w:ascii="楷体;汉仪楷体KW" w:hAnsi="楷体;汉仪楷体KW" w:cs="宋体;汉仪书宋二KW" w:eastAsia="楷体;汉仪楷体KW"/>
          <w:color w:val="000000"/>
        </w:rPr>
        <w:t>行为的作用。</w:t>
      </w:r>
    </w:p>
    <w:p>
      <w:pPr>
        <w:pStyle w:val="Normal"/>
        <w:spacing w:lineRule="auto" w:line="360"/>
        <w:ind w:firstLine="480"/>
        <w:jc w:val="both"/>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t>4</w:t>
      </w:r>
      <w:r>
        <w:rPr>
          <w:rFonts w:ascii="楷体;汉仪楷体KW" w:hAnsi="楷体;汉仪楷体KW" w:cs="宋体;汉仪书宋二KW" w:eastAsia="楷体;汉仪楷体KW"/>
          <w:color w:val="000000"/>
        </w:rPr>
        <w:t>、结果的比较与原因初步探讨：</w:t>
      </w:r>
    </w:p>
    <w:p>
      <w:pPr>
        <w:pStyle w:val="Normal"/>
        <w:spacing w:lineRule="auto" w:line="360"/>
        <w:ind w:firstLine="48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通过评估者评估结果的比较分析，我们可以清楚地看出，在所有的参与评估的组别当中，上司的评估意见非常突出，特别是在团队精神（</w:t>
      </w:r>
      <w:r>
        <w:rPr>
          <w:rFonts w:eastAsia="楷体;汉仪楷体KW" w:cs="宋体;汉仪书宋二KW" w:ascii="楷体;汉仪楷体KW" w:hAnsi="楷体;汉仪楷体KW"/>
          <w:color w:val="000000"/>
        </w:rPr>
        <w:t>FT</w:t>
      </w:r>
      <w:r>
        <w:rPr>
          <w:rFonts w:ascii="楷体;汉仪楷体KW" w:hAnsi="楷体;汉仪楷体KW" w:cs="宋体;汉仪书宋二KW" w:eastAsia="楷体;汉仪楷体KW"/>
          <w:color w:val="000000"/>
        </w:rPr>
        <w:t>）等能力上，此外，各组在具体能力方面都有一定差异性评估，具体分析这些差异和原因，如形成开放式沟通（</w:t>
      </w:r>
      <w:r>
        <w:rPr>
          <w:rFonts w:eastAsia="楷体;汉仪楷体KW" w:cs="宋体;汉仪书宋二KW" w:ascii="楷体;汉仪楷体KW" w:hAnsi="楷体;汉仪楷体KW"/>
          <w:color w:val="000000"/>
        </w:rPr>
        <w:t>FO</w:t>
      </w:r>
      <w:r>
        <w:rPr>
          <w:rFonts w:ascii="楷体;汉仪楷体KW" w:hAnsi="楷体;汉仪楷体KW" w:cs="宋体;汉仪书宋二KW" w:eastAsia="楷体;汉仪楷体KW"/>
          <w:color w:val="000000"/>
        </w:rPr>
        <w:t>），可以使您更清楚的，更有针对性的发现自己的优势和不足。详见下表。</w:t>
      </w:r>
    </w:p>
    <w:p>
      <w:pPr>
        <w:pStyle w:val="Normal"/>
        <w:spacing w:lineRule="auto" w:line="360"/>
        <w:ind w:firstLine="480"/>
        <w:jc w:val="both"/>
        <w:rPr>
          <w:rFonts w:cs="宋体;汉仪书宋二KW"/>
        </w:rPr>
      </w:pPr>
      <w:r>
        <w:rPr>
          <w:rFonts w:ascii="楷体;汉仪楷体KW" w:hAnsi="楷体;汉仪楷体KW" w:cs="宋体;汉仪书宋二KW" w:eastAsia="楷体;汉仪楷体KW"/>
          <w:color w:val="000000"/>
        </w:rPr>
        <w:t>注：</w:t>
      </w:r>
      <w:r>
        <w:rPr>
          <w:rFonts w:eastAsia="楷体;汉仪楷体KW" w:cs="宋体;汉仪书宋二KW" w:ascii="楷体;汉仪楷体KW" w:hAnsi="楷体;汉仪楷体KW"/>
          <w:color w:val="000000"/>
        </w:rPr>
        <w:t>1.“</w:t>
      </w:r>
      <w:r>
        <w:rPr>
          <w:rFonts w:ascii="楷体;汉仪楷体KW" w:hAnsi="楷体;汉仪楷体KW" w:cs="宋体;汉仪书宋二KW" w:eastAsia="楷体;汉仪楷体KW"/>
          <w:color w:val="000000"/>
        </w:rPr>
        <w:t>相对优势、不足”指处于曲线走势顶端及分布在</w:t>
      </w:r>
      <w:r>
        <w:rPr>
          <w:rFonts w:eastAsia="楷体;汉仪楷体KW" w:cs="宋体;汉仪书宋二KW" w:ascii="楷体;汉仪楷体KW" w:hAnsi="楷体;汉仪楷体KW"/>
          <w:color w:val="000000"/>
        </w:rPr>
        <w:t>Min</w:t>
      </w:r>
      <w:r>
        <w:rPr>
          <w:rFonts w:ascii="楷体;汉仪楷体KW" w:hAnsi="楷体;汉仪楷体KW" w:cs="宋体;汉仪书宋二KW" w:eastAsia="楷体;汉仪楷体KW"/>
          <w:color w:val="000000"/>
        </w:rPr>
        <w:t>－</w:t>
      </w:r>
      <w:r>
        <w:rPr>
          <w:rFonts w:eastAsia="楷体;汉仪楷体KW" w:cs="宋体;汉仪书宋二KW" w:ascii="楷体;汉仪楷体KW" w:hAnsi="楷体;汉仪楷体KW"/>
          <w:color w:val="000000"/>
        </w:rPr>
        <w:t>Max50</w:t>
      </w:r>
      <w:r>
        <w:rPr>
          <w:rFonts w:ascii="楷体;汉仪楷体KW" w:hAnsi="楷体;汉仪楷体KW" w:cs="宋体;汉仪书宋二KW" w:eastAsia="楷体;汉仪楷体KW"/>
          <w:color w:val="000000"/>
        </w:rPr>
        <w:t>％区间外的能力</w:t>
      </w:r>
      <w:r>
        <w:rPr>
          <w:rFonts w:eastAsia="楷体;汉仪楷体KW" w:cs="宋体;汉仪书宋二KW" w:ascii="楷体;汉仪楷体KW" w:hAnsi="楷体;汉仪楷体KW"/>
          <w:color w:val="000000"/>
        </w:rPr>
        <w:t>/</w:t>
      </w:r>
      <w:r>
        <w:rPr>
          <w:rFonts w:ascii="楷体;汉仪楷体KW" w:hAnsi="楷体;汉仪楷体KW" w:cs="宋体;汉仪书宋二KW" w:eastAsia="楷体;汉仪楷体KW"/>
          <w:color w:val="000000"/>
        </w:rPr>
        <w:t>行为；</w:t>
      </w:r>
      <w:r>
        <w:rPr>
          <w:rFonts w:eastAsia="楷体;汉仪楷体KW" w:cs="宋体;汉仪书宋二KW" w:ascii="楷体;汉仪楷体KW" w:hAnsi="楷体;汉仪楷体KW"/>
          <w:color w:val="000000"/>
        </w:rPr>
        <w:t xml:space="preserve">2. </w:t>
      </w:r>
      <w:r>
        <w:rPr>
          <w:rFonts w:ascii="楷体;汉仪楷体KW" w:hAnsi="楷体;汉仪楷体KW" w:cs="宋体;汉仪书宋二KW" w:eastAsia="楷体;汉仪楷体KW"/>
          <w:color w:val="000000"/>
        </w:rPr>
        <w:t>团队精神指此项属于</w:t>
      </w:r>
      <w:r>
        <w:rPr>
          <w:rFonts w:eastAsia="楷体;汉仪楷体KW" w:cs="宋体;汉仪书宋二KW" w:ascii="楷体;汉仪楷体KW" w:hAnsi="楷体;汉仪楷体KW"/>
          <w:color w:val="000000"/>
        </w:rPr>
        <w:t>TF</w:t>
      </w:r>
      <w:r>
        <w:rPr>
          <w:rFonts w:ascii="楷体;汉仪楷体KW" w:hAnsi="楷体;汉仪楷体KW" w:cs="宋体;汉仪书宋二KW" w:eastAsia="楷体;汉仪楷体KW"/>
          <w:color w:val="000000"/>
        </w:rPr>
        <w:t>，即四项最重要的能力</w:t>
      </w:r>
      <w:r>
        <w:rPr>
          <w:rFonts w:eastAsia="楷体;汉仪楷体KW" w:cs="宋体;汉仪书宋二KW" w:ascii="楷体;汉仪楷体KW" w:hAnsi="楷体;汉仪楷体KW"/>
          <w:color w:val="000000"/>
        </w:rPr>
        <w:t>/</w:t>
      </w:r>
      <w:r>
        <w:rPr>
          <w:rFonts w:ascii="楷体;汉仪楷体KW" w:hAnsi="楷体;汉仪楷体KW" w:cs="宋体;汉仪书宋二KW" w:eastAsia="楷体;汉仪楷体KW"/>
          <w:color w:val="000000"/>
        </w:rPr>
        <w:t>行为之一。</w:t>
      </w:r>
    </w:p>
    <w:tbl>
      <w:tblPr>
        <w:tblW w:w="9828" w:type="dxa"/>
        <w:jc w:val="center"/>
        <w:tblInd w:w="0" w:type="dxa"/>
        <w:tblLayout w:type="fixed"/>
        <w:tblCellMar>
          <w:top w:w="0" w:type="dxa"/>
          <w:start w:w="108" w:type="dxa"/>
          <w:bottom w:w="0" w:type="dxa"/>
          <w:end w:w="108" w:type="dxa"/>
        </w:tblCellMar>
      </w:tblPr>
      <w:tblGrid>
        <w:gridCol w:w="1363"/>
        <w:gridCol w:w="1446"/>
        <w:gridCol w:w="3959"/>
        <w:gridCol w:w="3060"/>
      </w:tblGrid>
      <w:tr>
        <w:trPr>
          <w:trHeight w:val="400" w:hRule="atLeast"/>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eastAsia="楷体;汉仪楷体KW" w:cs="楷体;汉仪楷体KW" w:ascii="楷体;汉仪楷体KW" w:hAnsi="楷体;汉仪楷体KW"/>
                <w:color w:val="000000"/>
              </w:rPr>
              <w:t xml:space="preserve"> </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相对于</w:t>
            </w:r>
            <w:r>
              <w:rPr>
                <w:rFonts w:eastAsia="楷体;汉仪楷体KW" w:cs="宋体;汉仪书宋二KW" w:ascii="楷体;汉仪楷体KW" w:hAnsi="楷体;汉仪楷体KW"/>
                <w:color w:val="000000"/>
              </w:rPr>
              <w:t>Ave</w:t>
            </w:r>
          </w:p>
        </w:tc>
        <w:tc>
          <w:tcPr>
            <w:tcW w:w="3959" w:type="dxa"/>
            <w:tcBorders>
              <w:top w:val="single" w:sz="4" w:space="0" w:color="000000"/>
              <w:start w:val="single" w:sz="4" w:space="0" w:color="000000"/>
              <w:bottom w:val="single" w:sz="4" w:space="0" w:color="000000"/>
              <w:end w:val="single" w:sz="4" w:space="0" w:color="000000"/>
            </w:tcBorders>
            <w:tcMar>
              <w:top w:w="57" w:type="dxa"/>
              <w:bottom w:w="57" w:type="dxa"/>
            </w:tcMar>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相对优势</w:t>
            </w:r>
          </w:p>
        </w:tc>
        <w:tc>
          <w:tcPr>
            <w:tcW w:w="3060" w:type="dxa"/>
            <w:tcBorders>
              <w:top w:val="single" w:sz="4" w:space="0" w:color="000000"/>
              <w:start w:val="single" w:sz="4" w:space="0" w:color="000000"/>
              <w:bottom w:val="single" w:sz="4" w:space="0" w:color="000000"/>
              <w:end w:val="single" w:sz="4" w:space="0" w:color="000000"/>
            </w:tcBorders>
            <w:tcMar>
              <w:top w:w="57" w:type="dxa"/>
              <w:bottom w:w="57" w:type="dxa"/>
            </w:tcMar>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相对不足</w:t>
            </w:r>
          </w:p>
        </w:tc>
      </w:tr>
      <w:tr>
        <w:trPr>
          <w:trHeight w:val="406" w:hRule="atLeast"/>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上司</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低</w:t>
            </w:r>
          </w:p>
        </w:tc>
        <w:tc>
          <w:tcPr>
            <w:tcW w:w="39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激励他人、结果驱动</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开放式沟通、团队精神</w:t>
            </w:r>
          </w:p>
        </w:tc>
      </w:tr>
      <w:tr>
        <w:trPr>
          <w:trHeight w:val="406" w:hRule="atLeast"/>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同事</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高</w:t>
            </w:r>
          </w:p>
        </w:tc>
        <w:tc>
          <w:tcPr>
            <w:tcW w:w="39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w:t>
            </w:r>
          </w:p>
        </w:tc>
      </w:tr>
      <w:tr>
        <w:trPr>
          <w:trHeight w:val="406" w:hRule="atLeast"/>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下属</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高</w:t>
            </w:r>
          </w:p>
        </w:tc>
        <w:tc>
          <w:tcPr>
            <w:tcW w:w="39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开放式沟通、影响他人、领导果断、结果驱动</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指导与发展、激励他人</w:t>
            </w:r>
          </w:p>
        </w:tc>
      </w:tr>
      <w:tr>
        <w:trPr>
          <w:trHeight w:val="406" w:hRule="atLeast"/>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自己</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w:t>
            </w:r>
          </w:p>
        </w:tc>
        <w:tc>
          <w:tcPr>
            <w:tcW w:w="395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both"/>
              <w:rPr>
                <w:rFonts w:ascii="楷体;汉仪楷体KW" w:hAnsi="楷体;汉仪楷体KW" w:eastAsia="楷体;汉仪楷体KW" w:cs="宋体;汉仪书宋二KW"/>
                <w:color w:val="000000"/>
              </w:rPr>
            </w:pPr>
            <w:r>
              <w:rPr>
                <w:rFonts w:ascii="楷体;汉仪楷体KW" w:hAnsi="楷体;汉仪楷体KW" w:cs="宋体;汉仪书宋二KW" w:eastAsia="楷体;汉仪楷体KW"/>
                <w:color w:val="000000"/>
              </w:rPr>
              <w:t>管理沟通、领导果断、管理实施、客户第一</w:t>
            </w:r>
            <w:r>
              <w:rPr>
                <w:rFonts w:eastAsia="楷体;汉仪楷体KW" w:cs="宋体;汉仪书宋二KW" w:ascii="楷体;汉仪楷体KW" w:hAnsi="楷体;汉仪楷体KW"/>
                <w:color w:val="000000"/>
              </w:rPr>
              <w:t>/</w:t>
            </w:r>
            <w:r>
              <w:rPr>
                <w:rFonts w:ascii="楷体;汉仪楷体KW" w:hAnsi="楷体;汉仪楷体KW" w:cs="宋体;汉仪书宋二KW" w:eastAsia="楷体;汉仪楷体KW"/>
                <w:color w:val="000000"/>
              </w:rPr>
              <w:t>注重质量</w:t>
            </w:r>
          </w:p>
        </w:tc>
      </w:tr>
    </w:tbl>
    <w:p>
      <w:pPr>
        <w:pStyle w:val="Normal"/>
        <w:spacing w:lineRule="auto" w:line="360"/>
        <w:ind w:firstLine="480"/>
        <w:jc w:val="both"/>
        <w:rPr>
          <w:rFonts w:ascii="楷体;汉仪楷体KW" w:hAnsi="楷体;汉仪楷体KW" w:eastAsia="楷体;汉仪楷体KW" w:cs="宋体;汉仪书宋二KW"/>
          <w:color w:val="000000"/>
        </w:rPr>
      </w:pPr>
      <w:r>
        <w:rPr>
          <w:rFonts w:eastAsia="楷体;汉仪楷体KW" w:cs="宋体;汉仪书宋二KW" w:ascii="楷体;汉仪楷体KW" w:hAnsi="楷体;汉仪楷体KW"/>
          <w:color w:val="000000"/>
        </w:rPr>
      </w:r>
    </w:p>
    <w:sectPr>
      <w:type w:val="nextPage"/>
      <w:pgSz w:w="11906" w:h="16838"/>
      <w:pgMar w:left="1474" w:right="1474" w:header="0" w:top="850" w:footer="0" w:bottom="850" w:gutter="0"/>
      <w:pgNumType w:fmt="decimal"/>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汉仪书宋二KW"/>
    <w:charset w:val="86"/>
    <w:family w:val="auto"/>
    <w:pitch w:val="default"/>
  </w:font>
  <w:font w:name="Symbol">
    <w:altName w:val="Kingsoft Sign"/>
    <w:charset w:val="00" w:characterSet="windows-1252"/>
    <w:family w:val="roman"/>
    <w:pitch w:val="default"/>
  </w:font>
  <w:font w:name="Courier New">
    <w:charset w:val="00" w:characterSet="windows-1252"/>
    <w:family w:val="modern"/>
    <w:pitch w:val="default"/>
  </w:font>
  <w:font w:name="Wingdings">
    <w:charset w:val="00" w:characterSet="windows-1252"/>
    <w:family w:val="auto"/>
    <w:pitch w:val="default"/>
  </w:font>
  <w:font w:name="Liberation Sans">
    <w:altName w:val="Arial"/>
    <w:charset w:val="01" w:characterSet="utf-8"/>
    <w:family w:val="swiss"/>
    <w:pitch w:val="variable"/>
  </w:font>
  <w:font w:name="Arial Black">
    <w:charset w:val="00" w:characterSet="windows-1252"/>
    <w:family w:val="swiss"/>
    <w:pitch w:val="default"/>
  </w:font>
  <w:font w:name="苹方-简">
    <w:charset w:val="00" w:characterSet="windows-1252"/>
    <w:family w:val="roman"/>
    <w:pitch w:val="default"/>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440" w:hanging="360"/>
      </w:pPr>
      <w:rPr>
        <w:rFonts w:ascii="Symbol" w:hAnsi="Symbol" w:cs="Symbol" w:hint="default"/>
        <w:lang w:val="de-D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lang w:val="de-DE"/>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lang w:val="de-DE"/>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1440" w:hanging="360"/>
      </w:pPr>
      <w:rPr>
        <w:rFonts w:ascii="Symbol" w:hAnsi="Symbol" w:cs="Symbol" w:hint="default"/>
        <w:lang w:val="de-DE"/>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lang w:val="de-DE"/>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lang w:val="de-DE"/>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21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宋体;汉仪书宋二KW" w:cs="Times New Roman"/>
      <w:color w:val="auto"/>
      <w:sz w:val="24"/>
      <w:szCs w:val="24"/>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280" w:after="280"/>
      <w:jc w:val="start"/>
      <w:outlineLvl w:val="3"/>
    </w:pPr>
    <w:rPr>
      <w:rFonts w:ascii="宋体;汉仪书宋二KW" w:hAnsi="宋体;汉仪书宋二KW" w:cs="宋体;汉仪书宋二KW"/>
      <w:b/>
      <w:bCs/>
      <w:kern w:val="0"/>
      <w:sz w:val="24"/>
    </w:rPr>
  </w:style>
  <w:style w:type="character" w:styleId="WW8Num1z0">
    <w:name w:val="WW8Num1z0"/>
    <w:qFormat/>
    <w:rPr>
      <w:rFonts w:ascii="Symbol;Kingsoft Sign" w:hAnsi="Symbol;Kingsoft Sign" w:cs="Symbol;Kingsoft Sign"/>
      <w:lang w:val="de-D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Kingsoft Sign" w:hAnsi="Symbol;Kingsoft Sign" w:cs="Symbol;Kingsoft Sign"/>
      <w:lang w:val="de-DE"/>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tyle12">
    <w:name w:val="默认段落字体"/>
    <w:qFormat/>
    <w:rPr/>
  </w:style>
  <w:style w:type="character" w:styleId="PageNumber">
    <w:name w:val="Page Number"/>
    <w:basedOn w:val="Style12"/>
    <w:rPr/>
  </w:style>
  <w:style w:type="character" w:styleId="VisitedInternetLink">
    <w:name w:val="FollowedHyperlink"/>
    <w:basedOn w:val="Style12"/>
    <w:rPr>
      <w:color w:val="800080"/>
      <w:u w:val="single"/>
    </w:rPr>
  </w:style>
  <w:style w:type="character" w:styleId="InternetLink">
    <w:name w:val="Hyperlink"/>
    <w:basedOn w:val="Style12"/>
    <w:rPr>
      <w:color w:val="0000FF"/>
      <w:u w:val="single"/>
    </w:rPr>
  </w:style>
  <w:style w:type="character" w:styleId="StrongEmphasis">
    <w:name w:val="Strong Emphasis"/>
    <w:basedOn w:val="Style12"/>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autoSpaceDE w:val="false"/>
    </w:pPr>
    <w:rPr>
      <w:rFonts w:ascii="Arial Black" w:hAnsi="Arial Black" w:cs="Arial Black"/>
      <w:b/>
      <w:bCs/>
      <w:color w:val="000000"/>
      <w:sz w:val="18"/>
      <w:szCs w:val="36"/>
      <w:lang w:val="zh-CN"/>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ine18">
    <w:name w:val="line18"/>
    <w:basedOn w:val="Normal"/>
    <w:qFormat/>
    <w:pPr>
      <w:widowControl/>
      <w:spacing w:lineRule="atLeast" w:line="270" w:before="280" w:after="280"/>
      <w:jc w:val="start"/>
    </w:pPr>
    <w:rPr>
      <w:rFonts w:ascii="苹方-简" w:hAnsi="苹方-简" w:cs="苹方-简"/>
      <w:color w:val="333333"/>
      <w:kern w:val="0"/>
      <w:sz w:val="18"/>
      <w:szCs w:val="18"/>
    </w:rPr>
  </w:style>
  <w:style w:type="paragraph" w:styleId="HeaderandFooter">
    <w:name w:val="Header and Footer"/>
    <w:basedOn w:val="Normal"/>
    <w:qFormat/>
    <w:pPr>
      <w:suppressLineNumbers/>
      <w:tabs>
        <w:tab w:val="clear" w:pos="210"/>
        <w:tab w:val="center" w:pos="4986" w:leader="none"/>
        <w:tab w:val="right" w:pos="9972" w:leader="none"/>
      </w:tabs>
    </w:pPr>
    <w:rPr/>
  </w:style>
  <w:style w:type="paragraph" w:styleId="Header">
    <w:name w:val="Header"/>
    <w:basedOn w:val="Normal"/>
    <w:pPr>
      <w:tabs>
        <w:tab w:val="clear" w:pos="210"/>
        <w:tab w:val="center" w:pos="4153" w:leader="none"/>
        <w:tab w:val="right" w:pos="8306" w:leader="none"/>
      </w:tabs>
      <w:snapToGrid w:val="false"/>
      <w:jc w:val="center"/>
    </w:pPr>
    <w:rPr>
      <w:sz w:val="18"/>
      <w:szCs w:val="18"/>
    </w:rPr>
  </w:style>
  <w:style w:type="paragraph" w:styleId="Style13">
    <w:name w:val="日期"/>
    <w:basedOn w:val="Normal"/>
    <w:next w:val="Normal"/>
    <w:qFormat/>
    <w:pPr>
      <w:ind w:start="100" w:hanging="0"/>
    </w:pPr>
    <w:rPr/>
  </w:style>
  <w:style w:type="paragraph" w:styleId="Footer">
    <w:name w:val="Footer"/>
    <w:basedOn w:val="Normal"/>
    <w:pPr>
      <w:tabs>
        <w:tab w:val="clear" w:pos="210"/>
        <w:tab w:val="center" w:pos="4153" w:leader="none"/>
        <w:tab w:val="right" w:pos="8306" w:leader="none"/>
      </w:tabs>
      <w:snapToGrid w:val="false"/>
      <w:jc w:val="start"/>
    </w:pPr>
    <w:rPr>
      <w:sz w:val="18"/>
      <w:szCs w:val="18"/>
    </w:rPr>
  </w:style>
  <w:style w:type="paragraph" w:styleId="Style14">
    <w:name w:val="普通(网站)"/>
    <w:basedOn w:val="Normal"/>
    <w:qFormat/>
    <w:pPr>
      <w:widowControl/>
      <w:spacing w:before="280" w:after="280"/>
      <w:jc w:val="start"/>
    </w:pPr>
    <w:rPr>
      <w:rFonts w:ascii="宋体;汉仪书宋二KW" w:hAnsi="宋体;汉仪书宋二KW" w:cs="宋体;汉仪书宋二KW"/>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hr</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2019-04-10T16:32:00Z</dcterms:created>
  <dc:creator>Data</dc:creator>
  <dc:description/>
  <dc:language>en-US</dc:language>
  <cp:lastModifiedBy>dae</cp:lastModifiedBy>
  <dcterms:modified xsi:type="dcterms:W3CDTF">2022-03-03T06:14:58Z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