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240"/>
        <w:jc w:val="center"/>
        <w:rPr>
          <w:b/>
          <w:b/>
          <w:bCs/>
          <w:sz w:val="48"/>
          <w:szCs w:val="48"/>
          <w:highlight w:val="yellow"/>
        </w:rPr>
      </w:pPr>
      <w:r>
        <w:rPr>
          <w:rFonts w:ascii="SimHei" w:hAnsi="SimHei" w:eastAsia="黑体"/>
          <w:b/>
          <w:bCs/>
          <w:sz w:val="48"/>
          <w:szCs w:val="48"/>
          <w:highlight w:val="yellow"/>
        </w:rPr>
        <w:t>员工推荐奖励方案</w:t>
      </w:r>
    </w:p>
    <w:p>
      <w:pPr>
        <w:pStyle w:val="Normal"/>
        <w:spacing w:lineRule="auto" w:line="360" w:before="240" w:after="240"/>
        <w:rPr>
          <w:rFonts w:ascii="ˎ̥;Times New Roman" w:hAnsi="ˎ̥;Times New Roman" w:cs="ˎ̥;Times New Roman"/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一、目的</w:t>
      </w:r>
    </w:p>
    <w:p>
      <w:pPr>
        <w:pStyle w:val="Normal"/>
        <w:snapToGrid w:val="false"/>
        <w:spacing w:lineRule="auto" w:line="360"/>
        <w:ind w:firstLine="5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为适应公司发展需要，满足各部门用人需求，当公司职位出现空缺时，除了常规的招聘渠道以外，公司鼓励员工推荐合适的人才，使之能够加入我们的团队当中。为充分利用公司一切招聘资源，鼓励全体员工为公司推荐优秀人才，提高公司招聘活动的及时性和匹配度；也为了提高内部推荐的积极性，拓宽公司人才引进的渠道，及时、快速收集相关人才信息，提高人才引进工作的效率和质量，节省人力成本，特制定此方案。</w:t>
      </w:r>
    </w:p>
    <w:p>
      <w:pPr>
        <w:pStyle w:val="Normal"/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二、</w:t>
      </w:r>
      <w:r>
        <w:rPr>
          <w:rFonts w:ascii="SimHei" w:hAnsi="SimHei" w:cs="ˎ̥;Times New Roman" w:eastAsia="黑体"/>
          <w:b/>
          <w:bCs/>
          <w:sz w:val="28"/>
          <w:szCs w:val="28"/>
        </w:rPr>
        <w:t>推荐原则：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1</w:t>
      </w:r>
      <w:r>
        <w:rPr>
          <w:rFonts w:ascii="SimHei" w:hAnsi="SimHei" w:cs="ˎ̥;Times New Roman" w:eastAsia="黑体"/>
          <w:sz w:val="28"/>
          <w:szCs w:val="28"/>
        </w:rPr>
        <w:t>、推荐人必须是本公司的员工，推荐人与被推荐人不存在利益关系；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2</w:t>
      </w:r>
      <w:r>
        <w:rPr>
          <w:rFonts w:ascii="SimHei" w:hAnsi="SimHei" w:cs="ˎ̥;Times New Roman" w:eastAsia="黑体"/>
          <w:sz w:val="28"/>
          <w:szCs w:val="28"/>
        </w:rPr>
        <w:t>、员工不得推荐亲属应聘与本人相关联的岗位，推荐人不得隐瞒已知被推荐人的个人情况。无论推荐人的职位高低，被推荐人一视同仁，所有进入公司员工，在公司内部平等对待；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3</w:t>
      </w:r>
      <w:r>
        <w:rPr>
          <w:rFonts w:ascii="SimHei" w:hAnsi="SimHei" w:eastAsia="黑体"/>
          <w:sz w:val="28"/>
          <w:szCs w:val="28"/>
        </w:rPr>
        <w:t>、人力资源中心对满足公司空缺岗位的优秀人才进行综合评估，择优上岗；并坚持同等条件优先使用内部推荐的原则。</w:t>
      </w:r>
    </w:p>
    <w:p>
      <w:pPr>
        <w:pStyle w:val="Normal"/>
        <w:snapToGrid w:val="false"/>
        <w:spacing w:lineRule="auto" w:line="360"/>
        <w:rPr>
          <w:rFonts w:ascii="ˎ̥;Times New Roman" w:hAnsi="ˎ̥;Times New Roman" w:cs="ˎ̥;Times New Roman"/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三、</w:t>
      </w:r>
      <w:r>
        <w:rPr>
          <w:rFonts w:ascii="SimHei" w:hAnsi="SimHei" w:cs="ˎ̥;Times New Roman" w:eastAsia="黑体"/>
          <w:b/>
          <w:bCs/>
          <w:sz w:val="28"/>
          <w:szCs w:val="28"/>
        </w:rPr>
        <w:t>推荐方法：</w:t>
      </w:r>
    </w:p>
    <w:p>
      <w:pPr>
        <w:pStyle w:val="Normal"/>
        <w:widowControl/>
        <w:snapToGrid w:val="false"/>
        <w:spacing w:lineRule="auto" w:line="360"/>
        <w:jc w:val="start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1</w:t>
      </w:r>
      <w:r>
        <w:rPr>
          <w:rFonts w:ascii="SimHei" w:hAnsi="SimHei" w:cs="ˎ̥;Times New Roman" w:eastAsia="黑体"/>
          <w:sz w:val="28"/>
          <w:szCs w:val="28"/>
        </w:rPr>
        <w:t>、</w:t>
      </w:r>
      <w:r>
        <w:rPr>
          <w:rFonts w:ascii="SimHei" w:hAnsi="SimHei" w:cs="ˎ̥;Times New Roman" w:eastAsia="黑体"/>
          <w:sz w:val="28"/>
          <w:szCs w:val="28"/>
        </w:rPr>
        <w:t>推荐人将被推荐人简历</w:t>
      </w:r>
      <w:r>
        <w:rPr>
          <w:rFonts w:ascii="SimHei" w:hAnsi="SimHei" w:cs="ˎ̥;Times New Roman" w:eastAsia="黑体"/>
          <w:sz w:val="28"/>
          <w:szCs w:val="28"/>
        </w:rPr>
        <w:t>和《员工推荐表》提交到人力资源中心</w:t>
      </w:r>
      <w:r>
        <w:rPr>
          <w:rFonts w:ascii="SimHei" w:hAnsi="SimHei" w:cs="ˎ̥;Times New Roman" w:eastAsia="黑体"/>
          <w:sz w:val="28"/>
          <w:szCs w:val="28"/>
        </w:rPr>
        <w:t>报名</w:t>
      </w:r>
      <w:r>
        <w:rPr>
          <w:rFonts w:ascii="SimHei" w:hAnsi="SimHei" w:cs="ˎ̥;Times New Roman" w:eastAsia="黑体"/>
          <w:sz w:val="28"/>
          <w:szCs w:val="28"/>
        </w:rPr>
        <w:t>；</w:t>
      </w:r>
    </w:p>
    <w:p>
      <w:pPr>
        <w:pStyle w:val="Normal"/>
        <w:widowControl/>
        <w:snapToGrid w:val="false"/>
        <w:spacing w:lineRule="auto" w:line="360"/>
        <w:jc w:val="start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2</w:t>
      </w:r>
      <w:r>
        <w:rPr>
          <w:rFonts w:ascii="SimHei" w:hAnsi="SimHei" w:cs="ˎ̥;Times New Roman" w:eastAsia="黑体"/>
          <w:sz w:val="28"/>
          <w:szCs w:val="28"/>
        </w:rPr>
        <w:t>、</w:t>
      </w:r>
      <w:r>
        <w:rPr>
          <w:rFonts w:ascii="SimHei" w:hAnsi="SimHei" w:cs="ˎ̥;Times New Roman" w:eastAsia="黑体"/>
          <w:sz w:val="28"/>
          <w:szCs w:val="28"/>
        </w:rPr>
        <w:t>推荐人不能提供被推荐人简历的，须以电话形式告知被推荐人姓名、应聘职务、联系方式等个人信息。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四、推荐流程：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招聘岗位→→员工推荐→→简历筛选→→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简历分类存档→→预约面试→→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  <w:t>择优录取→→推荐跟踪反馈</w:t>
      </w:r>
      <w:r>
        <w:rPr>
          <w:rFonts w:eastAsia="黑体" w:ascii="SimHei" w:hAnsi="SimHei"/>
          <w:sz w:val="28"/>
          <w:szCs w:val="28"/>
        </w:rPr>
        <w:t xml:space="preserve"> </w:t>
      </w:r>
      <w:r>
        <w:rPr>
          <w:rFonts w:ascii="SimHei" w:hAnsi="SimHei" w:eastAsia="黑体"/>
          <w:sz w:val="28"/>
          <w:szCs w:val="28"/>
        </w:rPr>
        <w:t>→→推荐考核→→奖金发放</w:t>
      </w:r>
      <w:r>
        <w:rPr>
          <w:rFonts w:eastAsia="黑体" w:ascii="SimHei" w:hAnsi="SimHei"/>
          <w:sz w:val="28"/>
          <w:szCs w:val="28"/>
        </w:rPr>
        <w:t xml:space="preserve">     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ascii="SimHei" w:hAnsi="SimHei" w:eastAsia="黑体"/>
          <w:sz w:val="28"/>
          <w:szCs w:val="28"/>
        </w:rPr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sz w:val="28"/>
          <w:szCs w:val="28"/>
        </w:rPr>
      </w:pPr>
      <w:r>
        <w:rPr>
          <w:rFonts w:eastAsia="黑体" w:ascii="SimHei" w:hAnsi="SimHei"/>
          <w:sz w:val="28"/>
          <w:szCs w:val="28"/>
        </w:rPr>
        <w:t xml:space="preserve">              </w:t>
      </w:r>
    </w:p>
    <w:p>
      <w:pPr>
        <w:pStyle w:val="Normal"/>
        <w:tabs>
          <w:tab w:val="clear" w:pos="420"/>
          <w:tab w:val="left" w:pos="0" w:leader="none"/>
        </w:tabs>
        <w:snapToGrid w:val="false"/>
        <w:spacing w:lineRule="auto" w:line="360"/>
        <w:rPr>
          <w:b/>
          <w:b/>
          <w:bCs/>
          <w:sz w:val="28"/>
          <w:szCs w:val="28"/>
        </w:rPr>
      </w:pPr>
      <w:r>
        <w:rPr>
          <w:rFonts w:ascii="SimHei" w:hAnsi="SimHei" w:eastAsia="黑体"/>
          <w:b/>
          <w:bCs/>
          <w:sz w:val="28"/>
          <w:szCs w:val="28"/>
        </w:rPr>
        <w:t>五、推荐奖金发放原则：</w:t>
      </w:r>
    </w:p>
    <w:p>
      <w:pPr>
        <w:pStyle w:val="Normal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bookmarkStart w:id="0" w:name="OLE_LINK1"/>
      <w:bookmarkStart w:id="1" w:name="OLE_LINK2"/>
      <w:bookmarkEnd w:id="0"/>
      <w:bookmarkEnd w:id="1"/>
      <w:r>
        <w:rPr>
          <w:rFonts w:cs="ˎ̥;Times New Roman" w:ascii="SimHei" w:hAnsi="SimHei" w:eastAsia="黑体"/>
          <w:sz w:val="28"/>
          <w:szCs w:val="28"/>
        </w:rPr>
        <w:t>1</w:t>
      </w:r>
      <w:r>
        <w:rPr>
          <w:rFonts w:ascii="SimHei" w:hAnsi="SimHei" w:cs="ˎ̥;Times New Roman" w:eastAsia="黑体"/>
          <w:sz w:val="28"/>
          <w:szCs w:val="28"/>
        </w:rPr>
        <w:t>、被推荐人录用转正后，公司于转正当月在推荐员工工资中支付奖金的</w:t>
      </w:r>
      <w:r>
        <w:rPr>
          <w:rFonts w:cs="ˎ̥;Times New Roman" w:ascii="SimHei" w:hAnsi="SimHei" w:eastAsia="黑体"/>
          <w:sz w:val="28"/>
          <w:szCs w:val="28"/>
        </w:rPr>
        <w:t>30%</w:t>
      </w:r>
      <w:r>
        <w:rPr>
          <w:rFonts w:ascii="SimHei" w:hAnsi="SimHei" w:cs="ˎ̥;Times New Roman" w:eastAsia="黑体"/>
          <w:sz w:val="28"/>
          <w:szCs w:val="28"/>
        </w:rPr>
        <w:t>作为奖励发放给推荐人；被推荐人工作到旺季或满一年后，公司于期满当月在推荐员工工资中支付奖金的</w:t>
      </w:r>
      <w:r>
        <w:rPr>
          <w:rFonts w:cs="ˎ̥;Times New Roman" w:ascii="SimHei" w:hAnsi="SimHei" w:eastAsia="黑体"/>
          <w:sz w:val="28"/>
          <w:szCs w:val="28"/>
        </w:rPr>
        <w:t>70%</w:t>
      </w:r>
      <w:r>
        <w:rPr>
          <w:rFonts w:ascii="SimHei" w:hAnsi="SimHei" w:cs="ˎ̥;Times New Roman" w:eastAsia="黑体"/>
          <w:sz w:val="28"/>
          <w:szCs w:val="28"/>
        </w:rPr>
        <w:t>作为奖励发放给推荐人</w:t>
      </w:r>
    </w:p>
    <w:p>
      <w:pPr>
        <w:pStyle w:val="Normal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bookmarkStart w:id="2" w:name="OLE_LINK1"/>
      <w:bookmarkStart w:id="3" w:name="OLE_LINK2"/>
      <w:bookmarkEnd w:id="2"/>
      <w:bookmarkEnd w:id="3"/>
      <w:r>
        <w:rPr>
          <w:rFonts w:cs="ˎ̥;Times New Roman" w:ascii="SimHei" w:hAnsi="SimHei" w:eastAsia="黑体"/>
          <w:sz w:val="28"/>
          <w:szCs w:val="28"/>
        </w:rPr>
        <w:t>2</w:t>
      </w:r>
      <w:r>
        <w:rPr>
          <w:rFonts w:ascii="SimHei" w:hAnsi="SimHei" w:cs="ˎ̥;Times New Roman" w:eastAsia="黑体"/>
          <w:sz w:val="28"/>
          <w:szCs w:val="28"/>
        </w:rPr>
        <w:t>、若被推荐人在转正前离职，则不予支付推荐人奖金。</w:t>
      </w:r>
    </w:p>
    <w:p>
      <w:pPr>
        <w:pStyle w:val="Normal"/>
        <w:widowControl/>
        <w:snapToGrid w:val="false"/>
        <w:spacing w:lineRule="auto" w:line="360"/>
        <w:jc w:val="start"/>
        <w:rPr>
          <w:rFonts w:ascii="ˎ̥;Times New Roman" w:hAnsi="ˎ̥;Times New Roman" w:cs="ˎ̥;Times New Roman"/>
          <w:b/>
          <w:b/>
          <w:bCs/>
          <w:sz w:val="28"/>
          <w:szCs w:val="28"/>
        </w:rPr>
      </w:pPr>
      <w:r>
        <w:rPr>
          <w:rFonts w:ascii="SimHei" w:hAnsi="SimHei" w:cs="ˎ̥;Times New Roman" w:eastAsia="黑体"/>
          <w:b/>
          <w:bCs/>
          <w:sz w:val="28"/>
          <w:szCs w:val="28"/>
        </w:rPr>
        <w:t>六、</w:t>
      </w:r>
      <w:r>
        <w:rPr>
          <w:rFonts w:ascii="SimHei" w:hAnsi="SimHei" w:cs="ˎ̥;Times New Roman" w:eastAsia="黑体"/>
          <w:b/>
          <w:bCs/>
          <w:sz w:val="28"/>
          <w:szCs w:val="28"/>
        </w:rPr>
        <w:t xml:space="preserve"> </w:t>
      </w:r>
      <w:r>
        <w:rPr>
          <w:rFonts w:ascii="SimHei" w:hAnsi="SimHei" w:cs="ˎ̥;Times New Roman" w:eastAsia="黑体"/>
          <w:b/>
          <w:bCs/>
          <w:sz w:val="28"/>
          <w:szCs w:val="28"/>
        </w:rPr>
        <w:t xml:space="preserve"> </w:t>
      </w:r>
      <w:r>
        <w:rPr>
          <w:rFonts w:ascii="SimHei" w:hAnsi="SimHei" w:cs="ˎ̥;Times New Roman" w:eastAsia="黑体"/>
          <w:b/>
          <w:bCs/>
          <w:sz w:val="28"/>
          <w:szCs w:val="28"/>
        </w:rPr>
        <w:t>推荐人才奖项设置</w:t>
      </w:r>
      <w:r>
        <w:rPr>
          <w:rFonts w:ascii="SimHei" w:hAnsi="SimHei" w:cs="ˎ̥;Times New Roman" w:eastAsia="黑体"/>
          <w:b/>
          <w:bCs/>
          <w:sz w:val="28"/>
          <w:szCs w:val="28"/>
        </w:rPr>
        <w:t>：</w:t>
      </w:r>
    </w:p>
    <w:p>
      <w:pPr>
        <w:pStyle w:val="Normal"/>
        <w:snapToGrid w:val="false"/>
        <w:spacing w:lineRule="auto" w:line="360"/>
        <w:ind w:start="1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1</w:t>
      </w:r>
      <w:r>
        <w:rPr>
          <w:rFonts w:ascii="SimHei" w:hAnsi="SimHei" w:cs="ˎ̥;Times New Roman" w:eastAsia="黑体"/>
          <w:sz w:val="28"/>
          <w:szCs w:val="28"/>
        </w:rPr>
        <w:t>、若员工推荐的候选人不符合空缺职位要求或未被录用，推荐人不享受任何奖励；</w:t>
      </w:r>
    </w:p>
    <w:p>
      <w:pPr>
        <w:pStyle w:val="Normal"/>
        <w:snapToGrid w:val="false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2</w:t>
      </w:r>
      <w:r>
        <w:rPr>
          <w:rFonts w:ascii="SimHei" w:hAnsi="SimHei" w:cs="ˎ̥;Times New Roman" w:eastAsia="黑体"/>
          <w:sz w:val="28"/>
          <w:szCs w:val="28"/>
        </w:rPr>
        <w:t>、如果员工推荐的候选人被公司录用并顺利经过试用期成为正式员工，推荐人可获得通报表扬和相应的奖励；</w:t>
      </w:r>
    </w:p>
    <w:p>
      <w:pPr>
        <w:pStyle w:val="Normal"/>
        <w:snapToGrid w:val="false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  <w:t>3</w:t>
      </w:r>
      <w:r>
        <w:rPr>
          <w:rFonts w:ascii="SimHei" w:hAnsi="SimHei" w:cs="ˎ̥;Times New Roman" w:eastAsia="黑体"/>
          <w:sz w:val="28"/>
          <w:szCs w:val="28"/>
        </w:rPr>
        <w:t>、具体奖励金额如下：</w:t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36"/>
        <w:gridCol w:w="1292"/>
        <w:gridCol w:w="1440"/>
        <w:gridCol w:w="1620"/>
        <w:gridCol w:w="1800"/>
        <w:gridCol w:w="1440"/>
      </w:tblGrid>
      <w:tr>
        <w:trPr>
          <w:trHeight w:val="1952" w:hRule="atLeast"/>
        </w:trPr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eastAsia="黑体" w:cs="ˎ̥;Times New Roman" w:ascii="SimHei" w:hAnsi="SimHei"/>
                <w:sz w:val="28"/>
                <w:szCs w:val="28"/>
              </w:rPr>
              <w:t xml:space="preserve">        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级别</w:t>
            </w:r>
          </w:p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eastAsia="黑体" w:cs="ˎ̥;Times New Roman" w:ascii="SimHei" w:hAnsi="SimHei"/>
                <w:sz w:val="28"/>
                <w:szCs w:val="28"/>
              </w:rPr>
              <w:t xml:space="preserve">  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金额（元）</w:t>
            </w:r>
          </w:p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eastAsia="黑体"/>
              </w:rPr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岗位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初级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中级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ind w:firstLine="14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高级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被推荐员工转正月奖金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被推荐员工旺季完当月奖金</w:t>
            </w:r>
          </w:p>
        </w:tc>
      </w:tr>
      <w:tr>
        <w:trPr>
          <w:trHeight w:val="875" w:hRule="atLeast"/>
        </w:trPr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普通岗位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200/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300/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14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ind w:firstLine="14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500/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42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ind w:firstLine="42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30%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70%</w:t>
            </w:r>
          </w:p>
        </w:tc>
      </w:tr>
      <w:tr>
        <w:trPr>
          <w:trHeight w:val="924" w:hRule="atLeast"/>
        </w:trPr>
        <w:tc>
          <w:tcPr>
            <w:tcW w:w="2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管理、技术岗位</w:t>
            </w:r>
          </w:p>
        </w:tc>
        <w:tc>
          <w:tcPr>
            <w:tcW w:w="12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300/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600/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firstLine="14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ind w:firstLine="14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1000/</w:t>
            </w:r>
            <w:r>
              <w:rPr>
                <w:rFonts w:ascii="SimHei" w:hAnsi="SimHei" w:cs="ˎ̥;Times New Roman" w:eastAsia="黑体"/>
                <w:sz w:val="28"/>
                <w:szCs w:val="28"/>
              </w:rPr>
              <w:t>人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eastAsia="黑体" w:cs="ˎ̥;Times New Roman" w:ascii="SimHei" w:hAnsi="SimHei"/>
                <w:sz w:val="28"/>
                <w:szCs w:val="28"/>
              </w:rPr>
              <w:t xml:space="preserve">   </w:t>
            </w:r>
          </w:p>
          <w:p>
            <w:pPr>
              <w:pStyle w:val="Normal"/>
              <w:snapToGrid w:val="false"/>
              <w:spacing w:lineRule="auto" w:line="360"/>
              <w:ind w:firstLine="420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30%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snapToGrid w:val="false"/>
              <w:spacing w:lineRule="auto" w:line="360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70%</w:t>
            </w:r>
          </w:p>
        </w:tc>
      </w:tr>
    </w:tbl>
    <w:p>
      <w:pPr>
        <w:pStyle w:val="Normal"/>
        <w:snapToGrid w:val="false"/>
        <w:spacing w:lineRule="auto" w:line="360"/>
        <w:ind w:start="420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jc w:val="center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360"/>
        <w:ind w:start="420" w:hanging="0"/>
        <w:jc w:val="center"/>
        <w:rPr>
          <w:rFonts w:ascii="ˎ̥;Times New Roman" w:hAnsi="ˎ̥;Times New Roman" w:cs="ˎ̥;Times New Roman"/>
          <w:sz w:val="28"/>
          <w:szCs w:val="28"/>
        </w:rPr>
      </w:pPr>
      <w:r>
        <w:rPr>
          <w:rFonts w:ascii="SimHei" w:hAnsi="SimHei" w:cs="ˎ̥;Times New Roman" w:eastAsia="黑体"/>
          <w:b/>
          <w:bCs/>
          <w:sz w:val="36"/>
          <w:szCs w:val="36"/>
        </w:rPr>
        <w:t>员工推荐表</w:t>
      </w:r>
    </w:p>
    <w:p>
      <w:pPr>
        <w:pStyle w:val="Normal"/>
        <w:snapToGrid w:val="false"/>
        <w:spacing w:lineRule="auto" w:line="360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jc w:val="center"/>
        <w:rPr>
          <w:rFonts w:ascii="ˎ̥;Times New Roman" w:hAnsi="ˎ̥;Times New Roman" w:cs="ˎ̥;Times New Roman"/>
          <w:b/>
          <w:b/>
          <w:bCs/>
          <w:sz w:val="36"/>
          <w:szCs w:val="36"/>
        </w:rPr>
      </w:pPr>
      <w:r>
        <w:rPr>
          <w:rFonts w:cs="ˎ̥;Times New Roman" w:ascii="SimHei" w:hAnsi="SimHei" w:eastAsia="黑体"/>
          <w:b/>
          <w:bCs/>
          <w:sz w:val="36"/>
          <w:szCs w:val="36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b/>
          <w:b/>
          <w:bCs/>
          <w:sz w:val="28"/>
          <w:szCs w:val="28"/>
        </w:rPr>
      </w:pPr>
      <w:r>
        <w:rPr>
          <w:rFonts w:cs="ˎ̥;Times New Roman" w:ascii="SimHei" w:hAnsi="SimHei" w:eastAsia="黑体"/>
          <w:b/>
          <w:bCs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snapToGrid w:val="false"/>
        <w:spacing w:lineRule="auto" w:line="288"/>
        <w:rPr>
          <w:rFonts w:ascii="ˎ̥;Times New Roman" w:hAnsi="ˎ̥;Times New Roman" w:cs="ˎ̥;Times New Roman"/>
          <w:sz w:val="28"/>
          <w:szCs w:val="28"/>
        </w:rPr>
      </w:pPr>
      <w:r>
        <w:rPr>
          <w:rFonts w:cs="ˎ̥;Times New Roman" w:ascii="SimHei" w:hAnsi="SimHei" w:eastAsia="黑体"/>
          <w:sz w:val="28"/>
          <w:szCs w:val="28"/>
        </w:rPr>
      </w:r>
    </w:p>
    <w:p>
      <w:pPr>
        <w:pStyle w:val="Normal"/>
        <w:jc w:val="center"/>
        <w:rPr>
          <w:rFonts w:ascii="ˎ̥;Times New Roman" w:hAnsi="ˎ̥;Times New Roman" w:cs="ˎ̥;Times New Roman"/>
          <w:b/>
          <w:b/>
          <w:bCs/>
          <w:sz w:val="36"/>
          <w:szCs w:val="36"/>
        </w:rPr>
      </w:pPr>
      <w:r>
        <w:rPr>
          <w:rFonts w:ascii="SimHei" w:hAnsi="SimHei" w:cs="ˎ̥;Times New Roman" w:eastAsia="黑体"/>
          <w:b/>
          <w:bCs/>
          <w:sz w:val="36"/>
          <w:szCs w:val="36"/>
        </w:rPr>
        <w:t>公司人才推荐奖励领取记录</w:t>
      </w:r>
      <w:r>
        <w:rPr>
          <w:rFonts w:ascii="SimHei" w:hAnsi="SimHei" w:eastAsia="黑体"/>
        </w:rPr>
      </w:r>
    </w:p>
    <w:tbl>
      <w:tblPr>
        <w:tblW w:w="918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0"/>
        <w:gridCol w:w="1341"/>
        <w:gridCol w:w="1134"/>
        <w:gridCol w:w="1134"/>
        <w:gridCol w:w="1134"/>
        <w:gridCol w:w="1134"/>
        <w:gridCol w:w="851"/>
        <w:gridCol w:w="1912"/>
      </w:tblGrid>
      <w:tr>
        <w:trPr>
          <w:trHeight w:val="465" w:hRule="atLeast"/>
          <w:cantSplit w:val="true"/>
        </w:trPr>
        <w:tc>
          <w:tcPr>
            <w:tcW w:w="5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序号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日期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推荐人姓名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推荐人部门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是否推荐成功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被推荐人级别</w:t>
            </w:r>
          </w:p>
        </w:tc>
        <w:tc>
          <w:tcPr>
            <w:tcW w:w="276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获得的奖励方式</w:t>
            </w:r>
          </w:p>
        </w:tc>
      </w:tr>
      <w:tr>
        <w:trPr>
          <w:trHeight w:val="315" w:hRule="atLeast"/>
          <w:cantSplit w:val="true"/>
        </w:trPr>
        <w:tc>
          <w:tcPr>
            <w:tcW w:w="54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ˎ̥;Times New Roman" w:hAnsi="ˎ̥;Times New Roman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金额</w:t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ascii="SimHei" w:hAnsi="SimHei" w:cs="ˎ̥;Times New Roman" w:eastAsia="黑体"/>
                <w:sz w:val="28"/>
                <w:szCs w:val="28"/>
              </w:rPr>
              <w:t>奖励方式</w:t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2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5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  <w:tr>
        <w:trPr>
          <w:trHeight w:val="737" w:hRule="atLeast"/>
        </w:trPr>
        <w:tc>
          <w:tcPr>
            <w:tcW w:w="5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ˎ̥;Times New Roman" w:hAnsi="ˎ̥;Times New Roman" w:cs="ˎ̥;Times New Roman"/>
                <w:sz w:val="28"/>
                <w:szCs w:val="28"/>
              </w:rPr>
            </w:pPr>
            <w:r>
              <w:rPr>
                <w:rFonts w:cs="ˎ̥;Times New Roman" w:ascii="SimHei" w:hAnsi="SimHei" w:eastAsia="黑体"/>
                <w:sz w:val="28"/>
                <w:szCs w:val="28"/>
              </w:rPr>
            </w:r>
          </w:p>
        </w:tc>
      </w:tr>
    </w:tbl>
    <w:p>
      <w:pPr>
        <w:pStyle w:val="Normal"/>
        <w:snapToGrid w:val="false"/>
        <w:spacing w:lineRule="auto" w:line="360"/>
        <w:ind w:end="560" w:hanging="0"/>
        <w:rPr>
          <w:rFonts w:ascii="宋体" w:hAnsi="宋体" w:cs="宋体"/>
          <w:sz w:val="28"/>
          <w:szCs w:val="28"/>
        </w:rPr>
      </w:pPr>
      <w:r>
        <w:rPr>
          <w:rFonts w:cs="宋体" w:ascii="SimHei" w:hAnsi="SimHei" w:eastAsia="黑体"/>
          <w:sz w:val="28"/>
          <w:szCs w:val="28"/>
        </w:rPr>
      </w:r>
    </w:p>
    <w:sectPr>
      <w:headerReference w:type="default" r:id="rId2"/>
      <w:footerReference w:type="default" r:id="rId3"/>
      <w:type w:val="nextPage"/>
      <w:pgSz w:w="11906" w:h="16838"/>
      <w:pgMar w:left="1080" w:right="1106" w:header="597" w:top="653" w:footer="0" w:bottom="595" w:gutter="0"/>
      <w:pgNumType w:fmt="decimal"/>
      <w:formProt w:val="false"/>
      <w:textDirection w:val="lrTb"/>
      <w:docGrid w:type="lines" w:linePitch="597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宋体">
    <w:charset w:val="86"/>
    <w:family w:val="auto"/>
    <w:pitch w:val="default"/>
  </w:font>
  <w:font w:name="Arial">
    <w:charset w:val="00" w:characterSet="windows-1252"/>
    <w:family w:val="swiss"/>
    <w:pitch w:val="default"/>
  </w:font>
  <w:font w:name="Tahoma">
    <w:charset w:val="00" w:characterSet="windows-1252"/>
    <w:family w:val="swiss"/>
    <w:pitch w:val="default"/>
  </w:font>
  <w:font w:name="ˎ̥">
    <w:altName w:val="Times New Roman"/>
    <w:charset w:val="00" w:characterSet="windows-1252"/>
    <w:family w:val="roman"/>
    <w:pitch w:val="default"/>
  </w:font>
  <w:font w:name="仿宋_GB2312">
    <w:altName w:val="仿宋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end="360" w:hanging="0"/>
      <w:rPr>
        <w:rFonts w:ascii="仿宋_GB2312;仿宋" w:hAnsi="仿宋_GB2312;仿宋" w:eastAsia="仿宋_GB2312;仿宋" w:cs="宋体"/>
        <w:color w:val="2B2B2B"/>
        <w:kern w:val="0"/>
        <w:sz w:val="30"/>
        <w:szCs w:val="30"/>
      </w:rPr>
    </w:pPr>
    <w:r>
      <w:rPr>
        <w:rFonts w:eastAsia="仿宋_GB2312;仿宋" w:cs="宋体" w:ascii="仿宋_GB2312;仿宋" w:hAnsi="仿宋_GB2312;仿宋"/>
        <w:color w:val="2B2B2B"/>
        <w:kern w:val="0"/>
        <w:sz w:val="30"/>
        <w:szCs w:val="30"/>
      </w:rPr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4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481.4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firstLine="3313"/>
      <w:rPr>
        <w:rFonts w:ascii="宋体" w:hAnsi="宋体" w:cs="宋体"/>
        <w:b/>
        <w:b/>
        <w:color w:val="FF0000"/>
        <w:sz w:val="44"/>
        <w:szCs w:val="44"/>
      </w:rPr>
    </w:pPr>
    <w:r>
      <w:rPr>
        <w:rFonts w:cs="宋体" w:ascii="宋体" w:hAnsi="宋体"/>
        <w:b/>
        <w:color w:val="FF0000"/>
        <w:sz w:val="44"/>
        <w:szCs w:val="4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576" w:before="340" w:after="330"/>
      <w:outlineLvl w:val="0"/>
    </w:pPr>
    <w:rPr>
      <w:b/>
      <w:bCs/>
      <w:kern w:val="2"/>
      <w:sz w:val="44"/>
      <w:szCs w:val="44"/>
    </w:rPr>
  </w:style>
  <w:style w:type="character" w:styleId="Style13">
    <w:name w:val="默认段落字体"/>
    <w:qFormat/>
    <w:rPr/>
  </w:style>
  <w:style w:type="character" w:styleId="1">
    <w:name w:val="标题 1 字符"/>
    <w:qFormat/>
    <w:rPr>
      <w:rFonts w:eastAsia="宋体"/>
      <w:b/>
      <w:bCs/>
      <w:kern w:val="2"/>
      <w:sz w:val="44"/>
      <w:szCs w:val="44"/>
      <w:lang w:val="en-US" w:eastAsia="zh-CN" w:bidi="ar-SA"/>
    </w:rPr>
  </w:style>
  <w:style w:type="character" w:styleId="Style14">
    <w:name w:val="正文文本缩进 字符"/>
    <w:qFormat/>
    <w:rPr>
      <w:rFonts w:ascii="宋体" w:hAnsi="宋体" w:eastAsia="宋体" w:cs="宋体"/>
      <w:kern w:val="2"/>
      <w:sz w:val="21"/>
      <w:lang w:val="en-US" w:eastAsia="zh-CN" w:bidi="ar-SA"/>
    </w:rPr>
  </w:style>
  <w:style w:type="character" w:styleId="2">
    <w:name w:val="正文文本缩进 2 字符"/>
    <w:qFormat/>
    <w:rPr>
      <w:rFonts w:ascii="宋体" w:hAnsi="宋体" w:eastAsia="宋体" w:cs="宋体"/>
      <w:kern w:val="2"/>
      <w:sz w:val="24"/>
      <w:lang w:val="en-US" w:eastAsia="zh-CN" w:bidi="ar-SA"/>
    </w:rPr>
  </w:style>
  <w:style w:type="character" w:styleId="PageNumber">
    <w:name w:val="Page Number"/>
    <w:basedOn w:val="Style13"/>
    <w:rPr/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spacing w:before="100" w:after="597"/>
      <w:jc w:val="center"/>
      <w:outlineLvl w:val="0"/>
    </w:pPr>
    <w:rPr>
      <w:rFonts w:ascii="Arial" w:hAnsi="Arial" w:eastAsia="宋体" w:cs="Arial"/>
      <w:b/>
      <w:bCs/>
      <w:sz w:val="44"/>
      <w:szCs w:val="44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extBodyIndent">
    <w:name w:val="Body Text Indent"/>
    <w:basedOn w:val="Normal"/>
    <w:pPr>
      <w:spacing w:before="0" w:after="120"/>
    </w:pPr>
    <w:rPr>
      <w:rFonts w:ascii="宋体" w:hAnsi="宋体" w:cs="宋体"/>
    </w:rPr>
  </w:style>
  <w:style w:type="paragraph" w:styleId="Style15">
    <w:name w:val="日期"/>
    <w:basedOn w:val="Normal"/>
    <w:next w:val="Normal"/>
    <w:qFormat/>
    <w:pPr>
      <w:ind w:start="100" w:hanging="0"/>
    </w:pPr>
    <w:rPr/>
  </w:style>
  <w:style w:type="paragraph" w:styleId="21">
    <w:name w:val="正文文本缩进 2"/>
    <w:basedOn w:val="Normal"/>
    <w:qFormat/>
    <w:pPr>
      <w:spacing w:lineRule="auto" w:line="360"/>
    </w:pPr>
    <w:rPr>
      <w:rFonts w:ascii="宋体" w:hAnsi="宋体" w:cs="宋体"/>
      <w:sz w:val="24"/>
    </w:rPr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7">
    <w:name w:val="普通(网站)"/>
    <w:basedOn w:val="Normal"/>
    <w:qFormat/>
    <w:pPr>
      <w:widowControl/>
      <w:spacing w:before="100" w:after="100"/>
      <w:jc w:val="start"/>
    </w:pPr>
    <w:rPr>
      <w:rFonts w:ascii="宋体" w:hAnsi="宋体" w:cs="宋体"/>
      <w:kern w:val="0"/>
      <w:sz w:val="24"/>
      <w:szCs w:val="24"/>
    </w:rPr>
  </w:style>
  <w:style w:type="paragraph" w:styleId="Greytext11">
    <w:name w:val="greytext11"/>
    <w:basedOn w:val="Normal"/>
    <w:qFormat/>
    <w:pPr>
      <w:widowControl/>
      <w:spacing w:before="100" w:after="100"/>
    </w:pPr>
    <w:rPr>
      <w:rFonts w:ascii="Tahoma" w:hAnsi="Tahoma" w:cs="Tahoma"/>
      <w:color w:val="666666"/>
      <w:kern w:val="0"/>
      <w:sz w:val="17"/>
      <w:szCs w:val="17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2013-12-11T13:47:00Z</dcterms:created>
  <dc:creator>莫小军</dc:creator>
  <dc:description/>
  <dc:language>en-US</dc:language>
  <cp:lastModifiedBy>王佩</cp:lastModifiedBy>
  <cp:lastPrinted>2013-12-07T18:10:00Z</cp:lastPrinted>
  <dcterms:modified xsi:type="dcterms:W3CDTF">2022-05-18T10:16:23Z</dcterms:modified>
  <cp:revision>9</cp:revision>
  <dc:subject/>
  <dc:title>2011年春节联欢晚会通知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64E4FB408E9A4EDA9EE5D5972330C14D</vt:lpwstr>
  </property>
  <property fmtid="{D5CDD505-2E9C-101B-9397-08002B2CF9AE}" pid="3" name="KSOProductBuildVer">
    <vt:lpwstr>2052-11.1.0.11691</vt:lpwstr>
  </property>
  <property fmtid="{D5CDD505-2E9C-101B-9397-08002B2CF9AE}" pid="4" name="commondata">
    <vt:lpwstr>commondata</vt:lpwstr>
  </property>
</Properties>
</file>