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b/>
          <w:bCs/>
          <w:sz w:val="30"/>
          <w:szCs w:val="30"/>
          <w:highlight w:val="yellow"/>
        </w:rPr>
      </w:pPr>
      <w:r>
        <w:rPr>
          <w:rFonts w:hint="eastAsia" w:ascii="SimHei" w:hAnsi="SimHei" w:eastAsia="黑体"/>
          <w:b/>
          <w:bCs/>
          <w:sz w:val="30"/>
          <w:szCs w:val="30"/>
          <w:highlight w:val="yellow"/>
        </w:rPr>
        <w:t>内部推荐</w:t>
      </w:r>
      <w:r>
        <w:rPr>
          <w:rFonts w:ascii="SimHei" w:hAnsi="SimHei" w:eastAsia="黑体"/>
          <w:b/>
          <w:bCs/>
          <w:sz w:val="30"/>
          <w:szCs w:val="30"/>
          <w:highlight w:val="yellow"/>
        </w:rPr>
        <w:t>制度</w:t>
      </w:r>
      <w:r>
        <w:rPr>
          <w:rFonts w:hint="eastAsia" w:ascii="SimHei" w:hAnsi="SimHei" w:eastAsia="黑体"/>
          <w:b/>
          <w:bCs/>
          <w:sz w:val="30"/>
          <w:szCs w:val="30"/>
          <w:highlight w:val="yellow"/>
        </w:rPr>
        <w:t>：</w:t>
      </w:r>
    </w:p>
    <w:p>
      <w:pPr>
        <w:spacing w:before="156" w:beforeLines="50" w:after="156" w:afterLines="50" w:line="360" w:lineRule="auto"/>
        <w:rPr>
          <w:sz w:val="24"/>
          <w:szCs w:val="24"/>
        </w:rPr>
      </w:pPr>
      <w:r>
        <w:rPr>
          <w:rFonts w:hint="eastAsia" w:ascii="SimHei" w:hAnsi="SimHei" w:eastAsia="黑体"/>
          <w:sz w:val="24"/>
          <w:szCs w:val="24"/>
        </w:rPr>
        <w:t>第一条 目的：</w:t>
      </w:r>
    </w:p>
    <w:p>
      <w:pPr>
        <w:spacing w:before="156" w:beforeLines="50" w:after="156" w:afterLines="50" w:line="360" w:lineRule="auto"/>
        <w:rPr>
          <w:sz w:val="24"/>
          <w:szCs w:val="24"/>
        </w:rPr>
      </w:pPr>
      <w:r>
        <w:rPr>
          <w:rFonts w:hint="eastAsia" w:ascii="SimHei" w:hAnsi="SimHei" w:eastAsia="黑体"/>
          <w:sz w:val="24"/>
          <w:szCs w:val="24"/>
        </w:rPr>
        <w:t>为了更好的使用公司内部资源，吸引优秀人才加盟公司，共同推进XX公司快速发展。</w:t>
      </w:r>
    </w:p>
    <w:p>
      <w:pPr>
        <w:spacing w:before="156" w:beforeLines="50" w:after="156" w:afterLines="50" w:line="360" w:lineRule="auto"/>
        <w:rPr>
          <w:sz w:val="24"/>
          <w:szCs w:val="24"/>
        </w:rPr>
      </w:pPr>
      <w:r>
        <w:rPr>
          <w:rFonts w:hint="eastAsia" w:ascii="SimHei" w:hAnsi="SimHei" w:eastAsia="黑体"/>
          <w:sz w:val="24"/>
          <w:szCs w:val="24"/>
        </w:rPr>
        <w:t>第二条 适用范围：</w:t>
      </w:r>
    </w:p>
    <w:p>
      <w:pPr>
        <w:spacing w:before="156" w:beforeLines="50" w:after="156" w:afterLines="50" w:line="360" w:lineRule="auto"/>
        <w:rPr>
          <w:sz w:val="24"/>
          <w:szCs w:val="24"/>
        </w:rPr>
      </w:pPr>
      <w:r>
        <w:rPr>
          <w:rFonts w:hint="eastAsia" w:ascii="SimHei" w:hAnsi="SimHei" w:eastAsia="黑体"/>
          <w:sz w:val="24"/>
          <w:szCs w:val="24"/>
        </w:rPr>
        <w:t>适用于XX体员工。</w:t>
      </w:r>
      <w:bookmarkStart w:id="0" w:name="_GoBack"/>
      <w:bookmarkEnd w:id="0"/>
    </w:p>
    <w:p>
      <w:pPr>
        <w:spacing w:before="156" w:beforeLines="50" w:after="156" w:afterLines="50" w:line="360" w:lineRule="auto"/>
        <w:rPr>
          <w:sz w:val="24"/>
          <w:szCs w:val="24"/>
        </w:rPr>
      </w:pPr>
      <w:r>
        <w:rPr>
          <w:rFonts w:hint="eastAsia" w:ascii="SimHei" w:hAnsi="SimHei" w:eastAsia="黑体"/>
          <w:sz w:val="24"/>
          <w:szCs w:val="24"/>
        </w:rPr>
        <w:t>第三条 职责：</w:t>
      </w:r>
    </w:p>
    <w:p>
      <w:pPr>
        <w:spacing w:before="156" w:beforeLines="50" w:after="156" w:afterLines="50" w:line="360" w:lineRule="auto"/>
        <w:rPr>
          <w:sz w:val="24"/>
          <w:szCs w:val="24"/>
        </w:rPr>
      </w:pPr>
      <w:r>
        <w:rPr>
          <w:rFonts w:hint="eastAsia" w:ascii="SimHei" w:hAnsi="SimHei" w:eastAsia="黑体"/>
          <w:sz w:val="24"/>
          <w:szCs w:val="24"/>
        </w:rPr>
        <w:t>人力行政部负责人才资料的审核以及奖金的申请和发放。</w:t>
      </w:r>
    </w:p>
    <w:p>
      <w:pPr>
        <w:spacing w:before="156" w:beforeLines="50" w:after="156" w:afterLines="50" w:line="360" w:lineRule="auto"/>
        <w:rPr>
          <w:sz w:val="24"/>
          <w:szCs w:val="24"/>
        </w:rPr>
      </w:pPr>
      <w:r>
        <w:rPr>
          <w:rFonts w:hint="eastAsia" w:ascii="SimHei" w:hAnsi="SimHei" w:eastAsia="黑体"/>
          <w:sz w:val="24"/>
          <w:szCs w:val="24"/>
        </w:rPr>
        <w:t>第四条 细则</w:t>
      </w:r>
    </w:p>
    <w:p>
      <w:pPr>
        <w:spacing w:before="156" w:beforeLines="50" w:after="156" w:afterLines="50" w:line="360" w:lineRule="auto"/>
        <w:rPr>
          <w:sz w:val="24"/>
          <w:szCs w:val="24"/>
        </w:rPr>
      </w:pPr>
      <w:r>
        <w:rPr>
          <w:rFonts w:hint="eastAsia" w:ascii="SimHei" w:hAnsi="SimHei" w:eastAsia="黑体"/>
          <w:sz w:val="24"/>
          <w:szCs w:val="24"/>
        </w:rPr>
        <w:t>1. 推荐条件：</w:t>
      </w:r>
    </w:p>
    <w:p>
      <w:pPr>
        <w:spacing w:before="156" w:beforeLines="50" w:after="156" w:afterLines="50" w:line="360" w:lineRule="auto"/>
        <w:rPr>
          <w:sz w:val="24"/>
          <w:szCs w:val="24"/>
        </w:rPr>
      </w:pPr>
      <w:r>
        <w:rPr>
          <w:rFonts w:hint="eastAsia" w:ascii="SimHei" w:hAnsi="SimHei" w:eastAsia="黑体"/>
          <w:sz w:val="24"/>
          <w:szCs w:val="24"/>
        </w:rPr>
        <w:t>1.1． 符合公司相关招募岗位任职需求；</w:t>
      </w:r>
    </w:p>
    <w:p>
      <w:pPr>
        <w:spacing w:before="156" w:beforeLines="50" w:after="156" w:afterLines="50" w:line="360" w:lineRule="auto"/>
        <w:rPr>
          <w:sz w:val="24"/>
          <w:szCs w:val="24"/>
        </w:rPr>
      </w:pPr>
      <w:r>
        <w:rPr>
          <w:rFonts w:hint="eastAsia" w:ascii="SimHei" w:hAnsi="SimHei" w:eastAsia="黑体"/>
          <w:sz w:val="24"/>
          <w:szCs w:val="24"/>
        </w:rPr>
        <w:t>1.2． 认同公司经营理念、公司运营模式；</w:t>
      </w:r>
    </w:p>
    <w:p>
      <w:pPr>
        <w:spacing w:before="156" w:beforeLines="50" w:after="156" w:afterLines="50" w:line="360" w:lineRule="auto"/>
        <w:rPr>
          <w:sz w:val="24"/>
          <w:szCs w:val="24"/>
        </w:rPr>
      </w:pPr>
      <w:r>
        <w:rPr>
          <w:rFonts w:hint="eastAsia" w:ascii="SimHei" w:hAnsi="SimHei" w:eastAsia="黑体"/>
          <w:sz w:val="24"/>
          <w:szCs w:val="24"/>
        </w:rPr>
        <w:t>1.3． 对时公司的企业文化有高度的认同感；</w:t>
      </w:r>
    </w:p>
    <w:p>
      <w:pPr>
        <w:spacing w:before="156" w:beforeLines="50" w:after="156" w:afterLines="50" w:line="360" w:lineRule="auto"/>
        <w:rPr>
          <w:sz w:val="24"/>
          <w:szCs w:val="24"/>
        </w:rPr>
      </w:pPr>
      <w:r>
        <w:rPr>
          <w:rFonts w:hint="eastAsia" w:ascii="SimHei" w:hAnsi="SimHei" w:eastAsia="黑体"/>
          <w:sz w:val="24"/>
          <w:szCs w:val="24"/>
        </w:rPr>
        <w:t>1.4． 某集团人才观的要求。</w:t>
      </w:r>
    </w:p>
    <w:p>
      <w:pPr>
        <w:spacing w:before="156" w:beforeLines="50" w:after="156" w:afterLines="50" w:line="360" w:lineRule="auto"/>
        <w:rPr>
          <w:sz w:val="24"/>
          <w:szCs w:val="24"/>
        </w:rPr>
      </w:pPr>
      <w:r>
        <w:rPr>
          <w:rFonts w:hint="eastAsia" w:ascii="SimHei" w:hAnsi="SimHei" w:eastAsia="黑体"/>
          <w:sz w:val="24"/>
          <w:szCs w:val="24"/>
        </w:rPr>
        <w:t>2. 奖励方式：</w:t>
      </w:r>
    </w:p>
    <w:p>
      <w:pPr>
        <w:spacing w:before="156" w:beforeLines="50" w:after="156" w:afterLines="50" w:line="360" w:lineRule="auto"/>
        <w:rPr>
          <w:sz w:val="24"/>
          <w:szCs w:val="24"/>
        </w:rPr>
      </w:pPr>
      <w:r>
        <w:rPr>
          <w:rFonts w:hint="eastAsia" w:ascii="SimHei" w:hAnsi="SimHei" w:eastAsia="黑体"/>
          <w:sz w:val="24"/>
          <w:szCs w:val="24"/>
        </w:rPr>
        <w:t>2.1 成功推荐适合的、优秀的人才加入公司，根据推荐的岗位级别，设立伯乐奖。</w:t>
      </w:r>
    </w:p>
    <w:tbl>
      <w:tblPr>
        <w:tblStyle w:val="6"/>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8" w:type="dxa"/>
          </w:tcPr>
          <w:p>
            <w:pPr>
              <w:spacing w:before="156" w:beforeLines="50" w:after="156" w:afterLines="50" w:line="360" w:lineRule="auto"/>
              <w:jc w:val="center"/>
              <w:rPr>
                <w:sz w:val="24"/>
                <w:szCs w:val="24"/>
              </w:rPr>
            </w:pPr>
            <w:r>
              <w:rPr>
                <w:rFonts w:hint="eastAsia" w:ascii="SimHei" w:hAnsi="SimHei" w:eastAsia="黑体"/>
                <w:sz w:val="24"/>
                <w:szCs w:val="24"/>
              </w:rPr>
              <w:t>职级</w:t>
            </w:r>
          </w:p>
        </w:tc>
        <w:tc>
          <w:tcPr>
            <w:tcW w:w="2268" w:type="dxa"/>
          </w:tcPr>
          <w:p>
            <w:pPr>
              <w:spacing w:before="156" w:beforeLines="50" w:after="156" w:afterLines="50" w:line="360" w:lineRule="auto"/>
              <w:jc w:val="center"/>
              <w:rPr>
                <w:sz w:val="24"/>
                <w:szCs w:val="24"/>
              </w:rPr>
            </w:pPr>
            <w:r>
              <w:rPr>
                <w:rFonts w:hint="eastAsia" w:ascii="SimHei" w:hAnsi="SimHei" w:eastAsia="黑体"/>
                <w:sz w:val="24"/>
                <w:szCs w:val="24"/>
              </w:rPr>
              <w:t>奖励金额</w:t>
            </w:r>
          </w:p>
        </w:tc>
        <w:tc>
          <w:tcPr>
            <w:tcW w:w="2552" w:type="dxa"/>
          </w:tcPr>
          <w:p>
            <w:pPr>
              <w:spacing w:before="156" w:beforeLines="50" w:after="156" w:afterLines="50" w:line="360" w:lineRule="auto"/>
              <w:jc w:val="center"/>
              <w:rPr>
                <w:sz w:val="24"/>
                <w:szCs w:val="24"/>
              </w:rPr>
            </w:pPr>
            <w:r>
              <w:rPr>
                <w:rFonts w:hint="eastAsia" w:ascii="SimHei" w:hAnsi="SimHei" w:eastAsia="黑体"/>
                <w:sz w:val="24"/>
                <w:szCs w:val="24"/>
              </w:rPr>
              <w:t>发放方式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8" w:type="dxa"/>
          </w:tcPr>
          <w:p>
            <w:pPr>
              <w:spacing w:before="156" w:beforeLines="50" w:after="156" w:afterLines="50" w:line="360" w:lineRule="auto"/>
              <w:jc w:val="center"/>
              <w:rPr>
                <w:sz w:val="24"/>
                <w:szCs w:val="24"/>
              </w:rPr>
            </w:pPr>
            <w:r>
              <w:rPr>
                <w:rFonts w:hint="eastAsia" w:ascii="SimHei" w:hAnsi="SimHei" w:eastAsia="黑体"/>
                <w:sz w:val="24"/>
                <w:szCs w:val="24"/>
              </w:rPr>
              <w:t>助理、技工及保安</w:t>
            </w:r>
          </w:p>
        </w:tc>
        <w:tc>
          <w:tcPr>
            <w:tcW w:w="2268" w:type="dxa"/>
          </w:tcPr>
          <w:p>
            <w:pPr>
              <w:spacing w:before="156" w:beforeLines="50" w:after="156" w:afterLines="50" w:line="360" w:lineRule="auto"/>
              <w:jc w:val="center"/>
              <w:rPr>
                <w:sz w:val="24"/>
                <w:szCs w:val="24"/>
              </w:rPr>
            </w:pPr>
            <w:r>
              <w:rPr>
                <w:rFonts w:hint="eastAsia" w:ascii="SimHei" w:hAnsi="SimHei" w:eastAsia="黑体"/>
                <w:sz w:val="24"/>
                <w:szCs w:val="24"/>
              </w:rPr>
              <w:t>200元</w:t>
            </w:r>
          </w:p>
        </w:tc>
        <w:tc>
          <w:tcPr>
            <w:tcW w:w="2552" w:type="dxa"/>
          </w:tcPr>
          <w:p>
            <w:pPr>
              <w:spacing w:before="156" w:beforeLines="50" w:after="156" w:afterLines="50" w:line="360" w:lineRule="auto"/>
              <w:jc w:val="center"/>
              <w:rPr>
                <w:sz w:val="24"/>
                <w:szCs w:val="24"/>
              </w:rPr>
            </w:pPr>
            <w:r>
              <w:rPr>
                <w:rFonts w:hint="eastAsia" w:ascii="SimHei" w:hAnsi="SimHei" w:eastAsia="黑体"/>
                <w:sz w:val="24"/>
                <w:szCs w:val="24"/>
              </w:rPr>
              <w:t>转正后一次性发放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8" w:type="dxa"/>
          </w:tcPr>
          <w:p>
            <w:pPr>
              <w:spacing w:before="156" w:beforeLines="50" w:after="156" w:afterLines="50" w:line="360" w:lineRule="auto"/>
              <w:jc w:val="center"/>
              <w:rPr>
                <w:sz w:val="24"/>
                <w:szCs w:val="24"/>
              </w:rPr>
            </w:pPr>
            <w:r>
              <w:rPr>
                <w:rFonts w:hint="eastAsia" w:ascii="SimHei" w:hAnsi="SimHei" w:eastAsia="黑体"/>
                <w:sz w:val="24"/>
                <w:szCs w:val="24"/>
              </w:rPr>
              <w:t>专员级</w:t>
            </w:r>
          </w:p>
        </w:tc>
        <w:tc>
          <w:tcPr>
            <w:tcW w:w="2268" w:type="dxa"/>
          </w:tcPr>
          <w:p>
            <w:pPr>
              <w:spacing w:before="156" w:beforeLines="50" w:after="156" w:afterLines="50" w:line="360" w:lineRule="auto"/>
              <w:jc w:val="center"/>
              <w:rPr>
                <w:sz w:val="24"/>
                <w:szCs w:val="24"/>
              </w:rPr>
            </w:pPr>
            <w:r>
              <w:rPr>
                <w:rFonts w:hint="eastAsia" w:ascii="SimHei" w:hAnsi="SimHei" w:eastAsia="黑体"/>
                <w:sz w:val="24"/>
                <w:szCs w:val="24"/>
              </w:rPr>
              <w:t>500元</w:t>
            </w:r>
          </w:p>
        </w:tc>
        <w:tc>
          <w:tcPr>
            <w:tcW w:w="2552" w:type="dxa"/>
          </w:tcPr>
          <w:p>
            <w:pPr>
              <w:spacing w:before="156" w:beforeLines="50" w:after="156" w:afterLines="50" w:line="360" w:lineRule="auto"/>
              <w:jc w:val="center"/>
              <w:rPr>
                <w:sz w:val="24"/>
                <w:szCs w:val="24"/>
              </w:rPr>
            </w:pPr>
            <w:r>
              <w:rPr>
                <w:rFonts w:hint="eastAsia" w:ascii="SimHei" w:hAnsi="SimHei" w:eastAsia="黑体"/>
                <w:sz w:val="24"/>
                <w:szCs w:val="24"/>
              </w:rPr>
              <w:t>转正后一次性发放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8" w:type="dxa"/>
          </w:tcPr>
          <w:p>
            <w:pPr>
              <w:spacing w:before="156" w:beforeLines="50" w:after="156" w:afterLines="50" w:line="360" w:lineRule="auto"/>
              <w:jc w:val="center"/>
              <w:rPr>
                <w:sz w:val="24"/>
                <w:szCs w:val="24"/>
              </w:rPr>
            </w:pPr>
            <w:r>
              <w:rPr>
                <w:rFonts w:hint="eastAsia" w:ascii="SimHei" w:hAnsi="SimHei" w:eastAsia="黑体"/>
                <w:sz w:val="24"/>
                <w:szCs w:val="24"/>
              </w:rPr>
              <w:t>主管级</w:t>
            </w:r>
          </w:p>
        </w:tc>
        <w:tc>
          <w:tcPr>
            <w:tcW w:w="2268" w:type="dxa"/>
          </w:tcPr>
          <w:p>
            <w:pPr>
              <w:spacing w:before="156" w:beforeLines="50" w:after="156" w:afterLines="50" w:line="360" w:lineRule="auto"/>
              <w:jc w:val="center"/>
              <w:rPr>
                <w:sz w:val="24"/>
                <w:szCs w:val="24"/>
              </w:rPr>
            </w:pPr>
            <w:r>
              <w:rPr>
                <w:rFonts w:hint="eastAsia" w:ascii="SimHei" w:hAnsi="SimHei" w:eastAsia="黑体"/>
                <w:sz w:val="24"/>
                <w:szCs w:val="24"/>
              </w:rPr>
              <w:t>1000元</w:t>
            </w:r>
          </w:p>
        </w:tc>
        <w:tc>
          <w:tcPr>
            <w:tcW w:w="2552" w:type="dxa"/>
          </w:tcPr>
          <w:p>
            <w:pPr>
              <w:spacing w:before="156" w:beforeLines="50" w:after="156" w:afterLines="50" w:line="360" w:lineRule="auto"/>
              <w:jc w:val="center"/>
              <w:rPr>
                <w:sz w:val="24"/>
                <w:szCs w:val="24"/>
              </w:rPr>
            </w:pPr>
            <w:r>
              <w:rPr>
                <w:rFonts w:hint="eastAsia" w:ascii="SimHei" w:hAnsi="SimHei" w:eastAsia="黑体"/>
                <w:sz w:val="24"/>
                <w:szCs w:val="24"/>
              </w:rPr>
              <w:t>转正后一次性发放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38" w:type="dxa"/>
          </w:tcPr>
          <w:p>
            <w:pPr>
              <w:spacing w:before="156" w:beforeLines="50" w:after="156" w:afterLines="50" w:line="360" w:lineRule="auto"/>
              <w:jc w:val="center"/>
              <w:rPr>
                <w:sz w:val="24"/>
                <w:szCs w:val="24"/>
              </w:rPr>
            </w:pPr>
            <w:r>
              <w:rPr>
                <w:rFonts w:hint="eastAsia" w:ascii="SimHei" w:hAnsi="SimHei" w:eastAsia="黑体"/>
                <w:sz w:val="24"/>
                <w:szCs w:val="24"/>
              </w:rPr>
              <w:t>经理级及以上</w:t>
            </w:r>
          </w:p>
        </w:tc>
        <w:tc>
          <w:tcPr>
            <w:tcW w:w="2268" w:type="dxa"/>
          </w:tcPr>
          <w:p>
            <w:pPr>
              <w:spacing w:before="156" w:beforeLines="50" w:after="156" w:afterLines="50" w:line="360" w:lineRule="auto"/>
              <w:jc w:val="center"/>
              <w:rPr>
                <w:sz w:val="24"/>
                <w:szCs w:val="24"/>
              </w:rPr>
            </w:pPr>
            <w:r>
              <w:rPr>
                <w:rFonts w:hint="eastAsia" w:ascii="SimHei" w:hAnsi="SimHei" w:eastAsia="黑体"/>
                <w:sz w:val="24"/>
                <w:szCs w:val="24"/>
              </w:rPr>
              <w:t>1500元</w:t>
            </w:r>
          </w:p>
        </w:tc>
        <w:tc>
          <w:tcPr>
            <w:tcW w:w="2552" w:type="dxa"/>
          </w:tcPr>
          <w:p>
            <w:pPr>
              <w:spacing w:before="156" w:beforeLines="50" w:after="156" w:afterLines="50" w:line="360" w:lineRule="auto"/>
              <w:jc w:val="center"/>
              <w:rPr>
                <w:sz w:val="24"/>
                <w:szCs w:val="24"/>
              </w:rPr>
            </w:pPr>
            <w:r>
              <w:rPr>
                <w:rFonts w:hint="eastAsia" w:ascii="SimHei" w:hAnsi="SimHei" w:eastAsia="黑体"/>
                <w:sz w:val="24"/>
                <w:szCs w:val="24"/>
              </w:rPr>
              <w:t>转正后一次性发放</w:t>
            </w:r>
          </w:p>
        </w:tc>
      </w:tr>
    </w:tbl>
    <w:p>
      <w:pPr>
        <w:spacing w:before="156" w:beforeLines="50" w:after="156" w:afterLines="50" w:line="360" w:lineRule="auto"/>
        <w:rPr>
          <w:sz w:val="24"/>
          <w:szCs w:val="24"/>
        </w:rPr>
      </w:pPr>
      <w:r>
        <w:rPr>
          <w:rFonts w:hint="eastAsia" w:ascii="SimHei" w:hAnsi="SimHei" w:eastAsia="黑体"/>
          <w:sz w:val="24"/>
          <w:szCs w:val="24"/>
        </w:rPr>
        <w:t>注：某集团内部任何职位者（含劳务人员）除外。</w:t>
      </w:r>
    </w:p>
    <w:p>
      <w:pPr>
        <w:spacing w:before="156" w:beforeLines="50" w:after="156" w:afterLines="50" w:line="360" w:lineRule="auto"/>
        <w:rPr>
          <w:sz w:val="24"/>
          <w:szCs w:val="24"/>
        </w:rPr>
      </w:pPr>
      <w:r>
        <w:rPr>
          <w:rFonts w:hint="eastAsia" w:ascii="SimHei" w:hAnsi="SimHei" w:eastAsia="黑体"/>
          <w:sz w:val="24"/>
          <w:szCs w:val="24"/>
        </w:rPr>
        <w:t>2.2 “伯乐奖”奖励鼓励公司全体员工为公司招聘工作贡献力量，原则上人力资源职能员工不享受“伯乐奖”。</w:t>
      </w:r>
    </w:p>
    <w:p>
      <w:pPr>
        <w:spacing w:before="156" w:beforeLines="50" w:after="156" w:afterLines="50" w:line="360" w:lineRule="auto"/>
        <w:rPr>
          <w:sz w:val="24"/>
          <w:szCs w:val="24"/>
        </w:rPr>
      </w:pPr>
      <w:r>
        <w:rPr>
          <w:rFonts w:hint="eastAsia" w:ascii="SimHei" w:hAnsi="SimHei" w:eastAsia="黑体"/>
          <w:sz w:val="24"/>
          <w:szCs w:val="24"/>
        </w:rPr>
        <w:t>2.3 新员工转正时如有晋升，按晋升所达最高级别的奖励标准全额发放。</w:t>
      </w:r>
    </w:p>
    <w:p>
      <w:pPr>
        <w:spacing w:before="156" w:beforeLines="50" w:after="156" w:afterLines="50" w:line="360" w:lineRule="auto"/>
        <w:rPr>
          <w:sz w:val="24"/>
          <w:szCs w:val="24"/>
        </w:rPr>
      </w:pPr>
      <w:r>
        <w:rPr>
          <w:rFonts w:hint="eastAsia" w:ascii="SimHei" w:hAnsi="SimHei" w:eastAsia="黑体"/>
          <w:sz w:val="24"/>
          <w:szCs w:val="24"/>
        </w:rPr>
        <w:t>3. 推荐流程：</w:t>
      </w:r>
    </w:p>
    <w:p>
      <w:pPr>
        <w:spacing w:before="156" w:beforeLines="50" w:after="156" w:afterLines="50" w:line="360" w:lineRule="auto"/>
        <w:rPr>
          <w:sz w:val="24"/>
          <w:szCs w:val="24"/>
        </w:rPr>
      </w:pPr>
      <w:r>
        <w:rPr>
          <w:rFonts w:hint="eastAsia" w:ascii="SimHei" w:hAnsi="SimHei" w:eastAsia="黑体"/>
          <w:sz w:val="24"/>
          <w:szCs w:val="24"/>
        </w:rPr>
        <w:t>3.1公司内部员工可根据公司发布的招聘需求向招聘负责人推荐岗位合适的人才，并将将优秀人才的简历及相关资料提交人力行政部，同时填写人才推荐表作为发放奖金的依据。</w:t>
      </w:r>
    </w:p>
    <w:p>
      <w:pPr>
        <w:spacing w:before="156" w:beforeLines="50" w:after="156" w:afterLines="50" w:line="360" w:lineRule="auto"/>
        <w:rPr>
          <w:sz w:val="24"/>
          <w:szCs w:val="24"/>
        </w:rPr>
      </w:pPr>
      <w:r>
        <w:rPr>
          <w:rFonts w:hint="eastAsia" w:ascii="SimHei" w:hAnsi="SimHei" w:eastAsia="黑体"/>
          <w:sz w:val="24"/>
          <w:szCs w:val="24"/>
        </w:rPr>
        <w:t>3.2招聘负责人在收到人才简历后需与招聘网站的人才库核对，如有重复则本次推荐不计入奖励，如未重复，则根据被推荐人与岗位要求的匹配情况安排面试。</w:t>
      </w:r>
    </w:p>
    <w:p>
      <w:pPr>
        <w:spacing w:before="156" w:beforeLines="50" w:after="156" w:afterLines="50" w:line="360" w:lineRule="auto"/>
        <w:rPr>
          <w:sz w:val="24"/>
          <w:szCs w:val="24"/>
        </w:rPr>
      </w:pPr>
      <w:r>
        <w:rPr>
          <w:rFonts w:hint="eastAsia" w:ascii="SimHei" w:hAnsi="SimHei" w:eastAsia="黑体"/>
          <w:sz w:val="24"/>
          <w:szCs w:val="24"/>
        </w:rPr>
        <w:t>3.3被推荐人才的招聘流程和入职流程须按照公司相关制度和流程完成。</w:t>
      </w:r>
    </w:p>
    <w:p>
      <w:pPr>
        <w:spacing w:before="156" w:beforeLines="50" w:after="156" w:afterLines="50" w:line="360" w:lineRule="auto"/>
        <w:rPr>
          <w:sz w:val="24"/>
          <w:szCs w:val="24"/>
        </w:rPr>
      </w:pPr>
      <w:r>
        <w:rPr>
          <w:rFonts w:hint="eastAsia" w:ascii="SimHei" w:hAnsi="SimHei" w:eastAsia="黑体"/>
          <w:sz w:val="24"/>
          <w:szCs w:val="24"/>
        </w:rPr>
        <w:t>4． 奖金发放形式：</w:t>
      </w:r>
    </w:p>
    <w:p>
      <w:pPr>
        <w:spacing w:before="156" w:beforeLines="50" w:after="156" w:afterLines="50" w:line="360" w:lineRule="auto"/>
        <w:rPr>
          <w:sz w:val="24"/>
          <w:szCs w:val="24"/>
        </w:rPr>
      </w:pPr>
      <w:r>
        <w:rPr>
          <w:rFonts w:hint="eastAsia" w:ascii="SimHei" w:hAnsi="SimHei" w:eastAsia="黑体"/>
          <w:sz w:val="24"/>
          <w:szCs w:val="24"/>
        </w:rPr>
        <w:t>伯乐奖的奖金由人力行政部申请，直接发放给推荐人。</w:t>
      </w:r>
    </w:p>
    <w:p>
      <w:pPr>
        <w:spacing w:before="156" w:beforeLines="50" w:after="156" w:afterLines="50" w:line="360" w:lineRule="auto"/>
        <w:rPr>
          <w:color w:val="000000" w:themeColor="text1"/>
          <w:sz w:val="24"/>
          <w:szCs w:val="24"/>
          <w14:textFill>
            <w14:solidFill>
              <w14:schemeClr w14:val="tx1"/>
            </w14:solidFill>
          </w14:textFill>
        </w:rPr>
      </w:pPr>
      <w:r>
        <w:rPr>
          <w:rFonts w:hint="eastAsia" w:ascii="SimHei" w:hAnsi="SimHei" w:eastAsia="黑体"/>
          <w:color w:val="000000" w:themeColor="text1"/>
          <w:sz w:val="24"/>
          <w:szCs w:val="24"/>
          <w14:textFill>
            <w14:solidFill>
              <w14:schemeClr w14:val="tx1"/>
            </w14:solidFill>
          </w14:textFill>
        </w:rPr>
        <w:t>第五条 附则</w:t>
      </w:r>
    </w:p>
    <w:p>
      <w:pPr>
        <w:spacing w:before="156" w:beforeLines="50" w:after="156" w:afterLines="50" w:line="360" w:lineRule="auto"/>
        <w:rPr>
          <w:color w:val="000000" w:themeColor="text1"/>
          <w:sz w:val="24"/>
          <w:szCs w:val="24"/>
          <w14:textFill>
            <w14:solidFill>
              <w14:schemeClr w14:val="tx1"/>
            </w14:solidFill>
          </w14:textFill>
        </w:rPr>
      </w:pPr>
      <w:r>
        <w:rPr>
          <w:rFonts w:hint="eastAsia" w:ascii="SimHei" w:hAnsi="SimHei" w:eastAsia="黑体"/>
          <w:color w:val="000000" w:themeColor="text1"/>
          <w:sz w:val="24"/>
          <w:szCs w:val="24"/>
          <w14:textFill>
            <w14:solidFill>
              <w14:schemeClr w14:val="tx1"/>
            </w14:solidFill>
          </w14:textFill>
        </w:rPr>
        <w:t>1. 本制度自颁布之日起实施，之前制度条文凡与本制度相抵触者以本制度为准。</w:t>
      </w:r>
    </w:p>
    <w:p>
      <w:pPr>
        <w:spacing w:before="156" w:beforeLines="50" w:after="156" w:afterLines="50" w:line="360" w:lineRule="auto"/>
        <w:rPr>
          <w:color w:val="000000" w:themeColor="text1"/>
          <w:sz w:val="24"/>
          <w:szCs w:val="24"/>
          <w14:textFill>
            <w14:solidFill>
              <w14:schemeClr w14:val="tx1"/>
            </w14:solidFill>
          </w14:textFill>
        </w:rPr>
      </w:pPr>
      <w:r>
        <w:rPr>
          <w:rFonts w:hint="eastAsia" w:ascii="SimHei" w:hAnsi="SimHei" w:eastAsia="黑体"/>
          <w:color w:val="000000" w:themeColor="text1"/>
          <w:sz w:val="24"/>
          <w:szCs w:val="24"/>
          <w14:textFill>
            <w14:solidFill>
              <w14:schemeClr w14:val="tx1"/>
            </w14:solidFill>
          </w14:textFill>
        </w:rPr>
        <w:t>2. 原则上 ，本制度根据实际执行情况，由人力行政部组织修订一次，版本按 1.0、</w:t>
      </w:r>
    </w:p>
    <w:p>
      <w:pPr>
        <w:spacing w:before="156" w:beforeLines="50" w:after="156" w:afterLines="50" w:line="360" w:lineRule="auto"/>
        <w:rPr>
          <w:color w:val="000000" w:themeColor="text1"/>
          <w:sz w:val="24"/>
          <w:szCs w:val="24"/>
          <w14:textFill>
            <w14:solidFill>
              <w14:schemeClr w14:val="tx1"/>
            </w14:solidFill>
          </w14:textFill>
        </w:rPr>
      </w:pPr>
      <w:r>
        <w:rPr>
          <w:rFonts w:hint="eastAsia" w:ascii="SimHei" w:hAnsi="SimHei" w:eastAsia="黑体"/>
          <w:color w:val="000000" w:themeColor="text1"/>
          <w:sz w:val="24"/>
          <w:szCs w:val="24"/>
          <w14:textFill>
            <w14:solidFill>
              <w14:schemeClr w14:val="tx1"/>
            </w14:solidFill>
          </w14:textFill>
        </w:rPr>
        <w:t>2.0……之顺序升级，若遇有局部、细部改动，则以“补充规定”的形式作为本制度附件，具有同等的约束和法律效力。</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4B3F4E"/>
    <w:rsid w:val="00002F1C"/>
    <w:rsid w:val="002A2164"/>
    <w:rsid w:val="003C3B37"/>
    <w:rsid w:val="00420105"/>
    <w:rsid w:val="00460E2E"/>
    <w:rsid w:val="004B3F4E"/>
    <w:rsid w:val="005A6D04"/>
    <w:rsid w:val="00615D8A"/>
    <w:rsid w:val="006629B1"/>
    <w:rsid w:val="00676D6E"/>
    <w:rsid w:val="00732E04"/>
    <w:rsid w:val="007965C1"/>
    <w:rsid w:val="00820983"/>
    <w:rsid w:val="0088568D"/>
    <w:rsid w:val="008A2EDA"/>
    <w:rsid w:val="00A50702"/>
    <w:rsid w:val="00B15A6F"/>
    <w:rsid w:val="00B431CD"/>
    <w:rsid w:val="00CF6BF4"/>
    <w:rsid w:val="00DD1A37"/>
    <w:rsid w:val="00E56C24"/>
    <w:rsid w:val="00F908B6"/>
    <w:rsid w:val="339A5696"/>
    <w:rsid w:val="66EA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735</Words>
  <Characters>776</Characters>
  <Lines>5</Lines>
  <Paragraphs>1</Paragraphs>
  <TotalTime>0</TotalTime>
  <ScaleCrop>false</ScaleCrop>
  <LinksUpToDate>false</LinksUpToDate>
  <CharactersWithSpaces>796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2016-07-28T08:32:00Z</dcterms:created>
  <dc:creator>User</dc:creator>
  <cp:lastModifiedBy>王佩</cp:lastModifiedBy>
  <cp:lastPrinted>2016-08-03T09:05:00Z</cp:lastPrinted>
  <dcterms:modified xsi:type="dcterms:W3CDTF">2022-05-18T01:49:06Z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5F9A24AD7722404DAF63A98AE1D60FC4</vt:lpwstr>
  </property>
</Properties>
</file>