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1935" w:rsidRDefault="0067118C" w:rsidP="00376E18">
      <w:pPr>
        <w:spacing w:beforeLines="50" w:afterLines="100"/>
        <w:jc w:val="center"/>
        <w:rPr>
          <w:rFonts w:ascii="宋体" w:hAnsi="宋体"/>
          <w:b/>
          <w:sz w:val="28"/>
          <w:szCs w:val="28"/>
        </w:rPr>
      </w:pPr>
      <w:r>
        <w:rPr>
          <w:rFonts w:ascii="SimHei" w:hAnsi="SimHei" w:hint="eastAsia" w:eastAsia="黑体"/>
          <w:b/>
          <w:sz w:val="28"/>
          <w:szCs w:val="28"/>
        </w:rPr>
        <w:t>某集团员工晋升及晋级管理办法（试行）</w:t>
      </w:r>
    </w:p>
    <w:p w:rsidR="002A1935" w:rsidRDefault="0067118C" w:rsidP="00376E18">
      <w:pPr>
        <w:spacing w:beforeLines="50" w:afterLines="50"/>
        <w:jc w:val="center"/>
        <w:rPr>
          <w:rFonts w:ascii="宋体" w:hAnsi="宋体"/>
          <w:b/>
          <w:sz w:val="28"/>
          <w:szCs w:val="28"/>
        </w:rPr>
      </w:pPr>
      <w:r>
        <w:rPr>
          <w:rFonts w:ascii="SimHei" w:hAnsi="SimHei" w:hint="eastAsia" w:eastAsia="黑体"/>
          <w:b/>
          <w:sz w:val="28"/>
          <w:szCs w:val="28"/>
        </w:rPr>
        <w:t>第一章 总 则</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一、目的</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集团目前正处于事业扩大期，人才需求量成几何增长，人才匹配尤为重要，在大量引进外部人才的同时，集团内部的人才选优和提拔工作更需要做实做强。为达到人尽其才、各尽其能的人才建设目的，达成优良的工作绩效，某集团员工晋升晋级渠道畅通, 增强企业凝聚力和员工的归属感，某集团和员工个人发展需要，某集团和员工个人的核心竞争力，进而提升经营绩效，特制定本管理办法。</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二、范围与定义</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某集团所有正式员工。</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（二）晋升是指员工职务职级晋升。</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（三）晋级是指员工薪酬等级晋级。</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三、基本原则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（一）德能和业绩并重的原则。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（二）逐级与跨级相结合的原则。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（三）纵向与横向相结合的原则。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（四）能升能降的原则。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（五）机会均等原则。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（六）优中选优原则。</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四、管理职责划分</w:t>
      </w:r>
      <w:r w:rsidR="00311000">
        <w:rPr>
          <w:rFonts w:ascii="SimHei" w:hAnsi="SimHei" w:hint="eastAsia" w:eastAsia="黑体"/>
          <w:b/>
          <w:sz w:val="28"/>
          <w:szCs w:val="28"/>
        </w:rPr>
        <w:t xml:space="preserve">   </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（一）人力资源管理中心负责员工晋升晋级工作的组织、审查、任职公布等业务运作，负责基层员工晋级晋升工作的报批与执行，各系统人力资源部门是员工晋升晋级工作的具体执行部门；</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（二）监察考核中心与人力资源管理中心负责人员晋升晋级的考核数据输出与整理工作；</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（三）卓达学院负责员工晋升晋级必备的培训及考试工作；</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（四）提名与薪酬委员会负责中高层员工晋升晋级工作的审核、报批与执行；</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五、晋升晋级需具备的基本条件</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（一）工作年限及司龄；</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（二）具备较高职务职级所需的任职资格、胜任能力和潜力；</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某集团的过往工作业绩表现；</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（四）职业道德；</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（五）掌握拟晋升职务、晋级职级必要的基本技能和基本知识。</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六、晋升晋级周期设定</w:t>
      </w:r>
    </w:p>
    <w:p w:rsidR="002A1935" w:rsidRDefault="0067118C">
      <w:pPr>
        <w:spacing w:line="360" w:lineRule="auto"/>
        <w:ind w:firstLineChars="200" w:firstLine="560"/>
        <w:jc w:val="left"/>
        <w:rPr>
          <w:rFonts w:ascii="宋体" w:hAnsi="宋体"/>
          <w:color w:val="000000" w:themeColor="text1"/>
          <w:sz w:val="28"/>
          <w:szCs w:val="28"/>
        </w:rPr>
      </w:pPr>
      <w:r>
        <w:rPr>
          <w:rFonts w:ascii="SimHei" w:hAnsi="SimHei" w:hint="eastAsia" w:eastAsia="黑体"/>
          <w:color w:val="000000" w:themeColor="text1"/>
          <w:sz w:val="28"/>
          <w:szCs w:val="28"/>
        </w:rPr>
        <w:t>人员晋升晋级工作以一个自然年为一个考评周期。</w:t>
      </w:r>
    </w:p>
    <w:p w:rsidR="002A1935" w:rsidRDefault="0067118C" w:rsidP="00376E18">
      <w:pPr>
        <w:spacing w:beforeLines="50" w:afterLines="50"/>
        <w:jc w:val="left"/>
        <w:rPr>
          <w:rFonts w:ascii="宋体" w:hAnsi="宋体"/>
          <w:b/>
          <w:sz w:val="28"/>
          <w:szCs w:val="28"/>
        </w:rPr>
      </w:pPr>
      <w:r>
        <w:rPr>
          <w:rFonts w:ascii="SimHei" w:hAnsi="SimHei" w:hint="eastAsia" w:eastAsia="黑体"/>
          <w:b/>
          <w:sz w:val="28"/>
          <w:szCs w:val="28"/>
        </w:rPr>
        <w:t>七、考核等级设定与要求</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（一）考评期内的晋升晋级采用考核等级来衡量，考核等级设定为五个等级：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1、优秀（考核分数≥90分）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2、良好（80分≤考核分数＜90分）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3、合格（70分≤考核分数＜80分）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4、较差（60分≤考核分数＜70分）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5、不合格（考核分数＜60分）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（二）考核等级的基础数据来源包括三方面：</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1、监察考核中心出具的组织季度考核得分（权重占比50%）；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2、部门提供的个人季度考核得分（权重占比30%）；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3、积分管理办公室出具的季度个人得分（权重占比20%）</w:t>
      </w:r>
    </w:p>
    <w:p w:rsidR="002A1935" w:rsidRDefault="0067118C" w:rsidP="00376E18">
      <w:pPr>
        <w:spacing w:beforeLines="50" w:afterLines="50"/>
        <w:ind w:firstLineChars="202" w:firstLine="566"/>
        <w:jc w:val="left"/>
        <w:rPr>
          <w:rFonts w:ascii="宋体" w:hAnsi="宋体"/>
          <w:b/>
          <w:sz w:val="28"/>
          <w:szCs w:val="28"/>
        </w:rPr>
      </w:pPr>
      <w:r>
        <w:rPr>
          <w:rFonts w:ascii="SimHei" w:hAnsi="SimHei" w:hint="eastAsia" w:eastAsia="黑体"/>
          <w:sz w:val="28"/>
          <w:szCs w:val="28"/>
        </w:rPr>
        <w:t>通过权重计算出的得分为个人季度考核最终得分，对应考核等级。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（三）考核等级分布比例</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各部门按照在岗人员数量进行考核等级分布，其中：</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优秀等级占比≤5%；</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良好等级占比≤10%；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合格等级占比≥70%；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较差等级占比≥10%；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不合格等级占比≥5%。（以上数据只取整数位，小数位不计）</w:t>
      </w:r>
    </w:p>
    <w:p w:rsidR="002A1935" w:rsidRDefault="0067118C" w:rsidP="00376E18">
      <w:pPr>
        <w:spacing w:beforeLines="50" w:afterLines="50" w:line="360" w:lineRule="auto"/>
        <w:jc w:val="left"/>
        <w:rPr>
          <w:rFonts w:ascii="宋体" w:hAnsi="宋体"/>
          <w:b/>
          <w:sz w:val="28"/>
          <w:szCs w:val="28"/>
        </w:rPr>
      </w:pPr>
      <w:r>
        <w:rPr>
          <w:rFonts w:ascii="SimHei" w:hAnsi="SimHei" w:hint="eastAsia" w:eastAsia="黑体"/>
          <w:b/>
          <w:sz w:val="28"/>
          <w:szCs w:val="28"/>
        </w:rPr>
        <w:t>八、晋升晋级流程</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（一）人力资源管理中心每年第一季度组织一次员工晋升晋级工作。</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（二）人力资源管理中心、提名与薪酬委员会汇总晋升晋级结果，经会议讨论后报总裁批示，由人力资源管理中心公示一周后发布正式通知。</w:t>
      </w:r>
    </w:p>
    <w:p w:rsidR="002A1935" w:rsidRDefault="002A1935">
      <w:pPr>
        <w:spacing w:line="360" w:lineRule="auto"/>
        <w:ind w:firstLineChars="200" w:firstLine="560"/>
        <w:jc w:val="left"/>
        <w:rPr>
          <w:rFonts w:ascii="宋体" w:hAnsi="宋体"/>
          <w:sz w:val="28"/>
          <w:szCs w:val="28"/>
        </w:rPr>
      </w:pPr>
    </w:p>
    <w:p w:rsidR="002A1935" w:rsidRDefault="0067118C" w:rsidP="00376E18">
      <w:pPr>
        <w:spacing w:beforeLines="50" w:afterLines="50"/>
        <w:jc w:val="center"/>
        <w:rPr>
          <w:rFonts w:ascii="宋体" w:hAnsi="宋体"/>
          <w:b/>
          <w:sz w:val="28"/>
          <w:szCs w:val="28"/>
        </w:rPr>
      </w:pPr>
      <w:r>
        <w:rPr>
          <w:rFonts w:ascii="SimHei" w:hAnsi="SimHei" w:hint="eastAsia" w:eastAsia="黑体"/>
          <w:b/>
          <w:sz w:val="28"/>
          <w:szCs w:val="28"/>
        </w:rPr>
        <w:t>第二章  员工晋级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一、根据不同考核得分情况分为以下晋级执行办法：</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（一）在一个考评周期内，若个人考核等级出现4次 “优秀”等级，具有薪酬等级晋级两级的资格。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（二）在一个考评周期内，若个人考核等级出现3次 “良好”及以上等级，具有薪酬等级晋级一级的资格。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（三）在一个考评周期内，只要个人考核等级出现2次“较差”等级，则失去本周期内薪酬等级晋级资格。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（四）在一个考评周期内，只要个人考核等级出现1次 “不合格”等级，则失去本周期内薪酬等级晋级资格。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（五）在连续两个考评周期内，只要个人考核等级出现4次“较差”及以下等级，薪酬等级下降一级。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（六）在连续两个考评周期内，只要个人考核等级出现3次“不合格”等级，原则上退回人力资源管理中心待岗或解除劳动合同处理。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（七）若个人在连续三个考评周期内薪酬等级未调整，且未出现第五、第六条规定情形的，予以薪酬等级晋升一级。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二、晋级流程</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（一）每年第一季度，由人力资源管理中心发布员工晋级工作开展通知。</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（二）各系统人力资源部门负责组织所属系统人员的考评结果及人员名单申报，在申报名单中按层级划分人员。</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某集团中高层人员的晋级由提名与薪酬委员会汇总最终考核结果，集团其他人员的晋级由人力资源管理中心汇总最终考核结果，经会议讨论一并报总裁批示，批示通过后公示一周发布晋级通知。</w:t>
      </w:r>
    </w:p>
    <w:p w:rsidR="002A1935" w:rsidRDefault="002A1935">
      <w:pPr>
        <w:spacing w:line="360" w:lineRule="auto"/>
        <w:ind w:firstLineChars="200" w:firstLine="560"/>
        <w:jc w:val="left"/>
        <w:rPr>
          <w:rFonts w:ascii="宋体" w:hAnsi="宋体"/>
          <w:sz w:val="28"/>
          <w:szCs w:val="28"/>
        </w:rPr>
      </w:pPr>
    </w:p>
    <w:p w:rsidR="002A1935" w:rsidRDefault="0067118C">
      <w:pPr>
        <w:spacing w:line="360" w:lineRule="auto"/>
        <w:ind w:firstLineChars="200" w:firstLine="562"/>
        <w:jc w:val="center"/>
        <w:rPr>
          <w:rFonts w:ascii="宋体" w:hAnsi="宋体"/>
          <w:b/>
          <w:sz w:val="28"/>
          <w:szCs w:val="28"/>
        </w:rPr>
      </w:pPr>
      <w:r>
        <w:rPr>
          <w:rFonts w:ascii="SimHei" w:hAnsi="SimHei" w:hint="eastAsia" w:eastAsia="黑体"/>
          <w:b/>
          <w:sz w:val="28"/>
          <w:szCs w:val="28"/>
        </w:rPr>
        <w:t>第三章  员工晋升</w:t>
      </w:r>
    </w:p>
    <w:p w:rsidR="002A1935" w:rsidRDefault="0067118C" w:rsidP="00376E18">
      <w:pPr>
        <w:spacing w:beforeLines="50" w:afterLines="50"/>
        <w:jc w:val="center"/>
        <w:rPr>
          <w:rFonts w:ascii="宋体" w:hAnsi="宋体"/>
          <w:b/>
          <w:sz w:val="28"/>
          <w:szCs w:val="28"/>
        </w:rPr>
      </w:pPr>
      <w:r>
        <w:rPr>
          <w:rFonts w:ascii="SimHei" w:hAnsi="SimHei" w:hint="eastAsia" w:eastAsia="黑体"/>
          <w:b/>
          <w:sz w:val="28"/>
          <w:szCs w:val="28"/>
        </w:rPr>
        <w:t>第一节</w:t>
      </w:r>
      <w:r>
        <w:rPr>
          <w:rFonts w:ascii="SimHei" w:hAnsi="SimHei" w:eastAsia="黑体"/>
          <w:b/>
          <w:sz w:val="28"/>
          <w:szCs w:val="28"/>
        </w:rPr>
        <w:t xml:space="preserve"> </w:t>
      </w:r>
      <w:r>
        <w:rPr>
          <w:rFonts w:ascii="SimHei" w:hAnsi="SimHei" w:hint="eastAsia" w:eastAsia="黑体"/>
          <w:b/>
          <w:sz w:val="28"/>
          <w:szCs w:val="28"/>
        </w:rPr>
        <w:t>员工职业发展通道</w:t>
      </w:r>
    </w:p>
    <w:p w:rsidR="002A1935" w:rsidRDefault="0067118C" w:rsidP="00376E18">
      <w:pPr>
        <w:spacing w:beforeLines="50" w:afterLines="50"/>
        <w:jc w:val="left"/>
        <w:rPr>
          <w:rFonts w:ascii="宋体" w:hAnsi="宋体"/>
          <w:sz w:val="28"/>
          <w:szCs w:val="28"/>
        </w:rPr>
      </w:pPr>
      <w:r>
        <w:rPr>
          <w:rFonts w:ascii="SimHei" w:hAnsi="SimHei" w:hint="eastAsia" w:eastAsia="黑体"/>
          <w:sz w:val="28"/>
          <w:szCs w:val="28"/>
        </w:rPr>
        <w:t>一、</w:t>
      </w:r>
      <w:r>
        <w:rPr>
          <w:rFonts w:ascii="SimHei" w:hAnsi="SimHei" w:eastAsia="黑体"/>
          <w:sz w:val="28"/>
          <w:szCs w:val="28"/>
        </w:rPr>
        <w:t xml:space="preserve"> </w:t>
      </w:r>
      <w:r>
        <w:rPr>
          <w:rFonts w:ascii="SimHei" w:hAnsi="SimHei" w:hint="eastAsia" w:eastAsia="黑体"/>
          <w:sz w:val="28"/>
          <w:szCs w:val="28"/>
        </w:rPr>
        <w:t>纵向发展</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管理类：专员-干事-主管-助理-中层副职-中层正职-高层副职</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专业类：专员-高级专员-主管-高级主管-专业经理-高级经理-资深经理-首席专业官</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技术类：技术员-助理工程师-工程师-主管工程师-副主任工程师-主任工程师-副总工程师-总工程师</w:t>
      </w:r>
    </w:p>
    <w:p w:rsidR="002A1935" w:rsidRDefault="0067118C">
      <w:pPr>
        <w:spacing w:line="360" w:lineRule="auto"/>
        <w:ind w:firstLineChars="200" w:firstLine="560"/>
        <w:jc w:val="left"/>
        <w:rPr>
          <w:rFonts w:ascii="宋体" w:hAnsi="宋体"/>
          <w:sz w:val="28"/>
          <w:szCs w:val="28"/>
          <w:highlight w:val="yellow"/>
        </w:rPr>
      </w:pPr>
      <w:r>
        <w:rPr>
          <w:rFonts w:ascii="SimHei" w:hAnsi="SimHei" w:hint="eastAsia" w:eastAsia="黑体"/>
          <w:sz w:val="28"/>
          <w:szCs w:val="28"/>
        </w:rPr>
        <w:t>操作类、工勤类：初级工-中级工-高级工-班组长-班组经理</w:t>
      </w:r>
    </w:p>
    <w:p w:rsidR="002A1935" w:rsidRDefault="0067118C" w:rsidP="00376E18">
      <w:pPr>
        <w:spacing w:beforeLines="50" w:afterLines="50"/>
        <w:jc w:val="left"/>
        <w:rPr>
          <w:rFonts w:ascii="宋体" w:hAnsi="宋体"/>
          <w:sz w:val="28"/>
          <w:szCs w:val="28"/>
        </w:rPr>
      </w:pPr>
      <w:r>
        <w:rPr>
          <w:rFonts w:ascii="SimHei" w:hAnsi="SimHei" w:hint="eastAsia" w:eastAsia="黑体"/>
          <w:sz w:val="28"/>
          <w:szCs w:val="28"/>
        </w:rPr>
        <w:t>二、</w:t>
      </w:r>
      <w:r>
        <w:rPr>
          <w:rFonts w:ascii="SimHei" w:hAnsi="SimHei" w:eastAsia="黑体"/>
          <w:sz w:val="28"/>
          <w:szCs w:val="28"/>
        </w:rPr>
        <w:t xml:space="preserve"> </w:t>
      </w:r>
      <w:r>
        <w:rPr>
          <w:rFonts w:ascii="SimHei" w:hAnsi="SimHei" w:hint="eastAsia" w:eastAsia="黑体"/>
          <w:sz w:val="28"/>
          <w:szCs w:val="28"/>
        </w:rPr>
        <w:t>横向发展</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某集团发展需要，委任员工进行岗位变动的，或员工发现另有所长的，某集团内各产业之间的岗位进行横向调整。（集团总部—地产公司-新材公司—建工公司—农业公司—养老公司—金融公司—物业公司—商业公司</w:t>
      </w:r>
      <w:r>
        <w:rPr>
          <w:rFonts w:ascii="SimHei" w:hAnsi="SimHei" w:eastAsia="黑体"/>
          <w:sz w:val="28"/>
          <w:szCs w:val="28"/>
        </w:rPr>
        <w:t>……</w:t>
      </w:r>
      <w:r>
        <w:rPr>
          <w:rFonts w:ascii="SimHei" w:hAnsi="SimHei" w:hint="eastAsia" w:eastAsia="黑体"/>
          <w:sz w:val="28"/>
          <w:szCs w:val="28"/>
        </w:rPr>
        <w:t>）</w:t>
      </w:r>
    </w:p>
    <w:p w:rsidR="002A1935" w:rsidRDefault="0067118C" w:rsidP="00376E18">
      <w:pPr>
        <w:spacing w:beforeLines="50" w:afterLines="50"/>
        <w:jc w:val="center"/>
        <w:rPr>
          <w:rFonts w:ascii="宋体" w:hAnsi="宋体"/>
          <w:b/>
          <w:sz w:val="28"/>
          <w:szCs w:val="28"/>
        </w:rPr>
      </w:pPr>
      <w:r>
        <w:rPr>
          <w:rFonts w:ascii="SimHei" w:hAnsi="SimHei" w:hint="eastAsia" w:eastAsia="黑体"/>
          <w:b/>
          <w:sz w:val="28"/>
          <w:szCs w:val="28"/>
        </w:rPr>
        <w:t>第二节</w:t>
      </w:r>
      <w:r>
        <w:rPr>
          <w:rFonts w:ascii="SimHei" w:hAnsi="SimHei" w:eastAsia="黑体"/>
          <w:b/>
          <w:sz w:val="28"/>
          <w:szCs w:val="28"/>
        </w:rPr>
        <w:t xml:space="preserve"> </w:t>
      </w:r>
      <w:r>
        <w:rPr>
          <w:rFonts w:ascii="SimHei" w:hAnsi="SimHei" w:hint="eastAsia" w:eastAsia="黑体"/>
          <w:b/>
          <w:sz w:val="28"/>
          <w:szCs w:val="28"/>
        </w:rPr>
        <w:t>员工职业规划发展管理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人力资源管理中心负责收集员工职业发展档案，并负责保管与及时更新。各用人部门负责人为本部门员工职业发展辅导人。职业发展档案包括员工职业发展规划表、员工培训需求、年度考核、培训记录等，作为对职业生涯规划调整的依据。</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二、进行个人特长及技能评估。职业发展辅导人指导员工填写《员工职业发展规划表》，包括员工知识、技能、资格证书及职业兴趣情况等</w:t>
      </w:r>
      <w:r>
        <w:rPr>
          <w:rFonts w:ascii="SimHei" w:hAnsi="SimHei" w:hint="eastAsia" w:eastAsia="黑体"/>
          <w:sz w:val="28"/>
          <w:szCs w:val="28"/>
        </w:rPr>
        <w:t>内容，以备日后对照检查，不断完善，一般每两年填写一次，新员工转正时由部门负责人辅导填写。</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卓达学院及各级人力资源部门需每年组织一次员工培训需求调查。员工需根据目前岗位职责及任职资格要求和个人职业发展规划，结合自身实际情况填写。卓达学院及各级人力资源部门制订年度培训计划及科目时，参考员工培训需求确定培训内容。</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四、人力资源管理中心每年对照《员工职业发展规划表》检查一次，了解各公司在一年中有没有为员工提供培训课程学习机会。</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五、职业发展辅导人在每年底考核结果确定后，与本部门员工就个人工作表现与个人职业发展规划进行谈话，确定下一步目标与方向。</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六、某集团工作安排或者个人发展的不同阶段及岗位变更情况选定不同的发展策略，调整能力需求，以适应岗位工作及未来发展的需要。</w:t>
      </w:r>
    </w:p>
    <w:p w:rsidR="002A1935" w:rsidRDefault="0067118C" w:rsidP="00376E18">
      <w:pPr>
        <w:spacing w:beforeLines="50" w:afterLines="50"/>
        <w:jc w:val="center"/>
        <w:rPr>
          <w:rFonts w:ascii="宋体" w:hAnsi="宋体"/>
          <w:b/>
          <w:sz w:val="28"/>
          <w:szCs w:val="28"/>
        </w:rPr>
      </w:pPr>
      <w:r>
        <w:rPr>
          <w:rFonts w:ascii="SimHei" w:hAnsi="SimHei" w:hint="eastAsia" w:eastAsia="黑体"/>
          <w:b/>
          <w:sz w:val="28"/>
          <w:szCs w:val="28"/>
        </w:rPr>
        <w:t>第三节</w:t>
      </w:r>
      <w:r>
        <w:rPr>
          <w:rFonts w:ascii="SimHei" w:hAnsi="SimHei" w:eastAsia="黑体"/>
          <w:b/>
          <w:sz w:val="28"/>
          <w:szCs w:val="28"/>
        </w:rPr>
        <w:t xml:space="preserve"> </w:t>
      </w:r>
      <w:r>
        <w:rPr>
          <w:rFonts w:ascii="SimHei" w:hAnsi="SimHei" w:hint="eastAsia" w:eastAsia="黑体"/>
          <w:b/>
          <w:sz w:val="28"/>
          <w:szCs w:val="28"/>
        </w:rPr>
        <w:t>员工晋升管理</w:t>
      </w:r>
    </w:p>
    <w:p w:rsidR="002A1935" w:rsidRDefault="0067118C" w:rsidP="00376E18">
      <w:pPr>
        <w:spacing w:afterLines="100"/>
        <w:jc w:val="left"/>
        <w:rPr>
          <w:rFonts w:ascii="宋体" w:hAnsi="宋体"/>
          <w:sz w:val="28"/>
          <w:szCs w:val="28"/>
        </w:rPr>
      </w:pPr>
      <w:r>
        <w:rPr>
          <w:rFonts w:ascii="SimHei" w:hAnsi="SimHei" w:hint="eastAsia" w:eastAsia="黑体"/>
          <w:sz w:val="28"/>
          <w:szCs w:val="28"/>
        </w:rPr>
        <w:t>一、</w:t>
      </w:r>
      <w:r>
        <w:rPr>
          <w:rFonts w:ascii="SimHei" w:hAnsi="SimHei" w:eastAsia="黑体"/>
          <w:sz w:val="28"/>
          <w:szCs w:val="28"/>
        </w:rPr>
        <w:t xml:space="preserve"> </w:t>
      </w:r>
      <w:r>
        <w:rPr>
          <w:rFonts w:ascii="SimHei" w:hAnsi="SimHei" w:hint="eastAsia" w:eastAsia="黑体"/>
          <w:sz w:val="28"/>
          <w:szCs w:val="28"/>
        </w:rPr>
        <w:t>员工晋升的基本条件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0"/>
        <w:gridCol w:w="1332"/>
        <w:gridCol w:w="2680"/>
        <w:gridCol w:w="1259"/>
        <w:gridCol w:w="877"/>
        <w:gridCol w:w="1719"/>
      </w:tblGrid>
      <w:tr w:rsidR="002A1935">
        <w:trPr>
          <w:trHeight w:val="510"/>
        </w:trPr>
        <w:tc>
          <w:tcPr>
            <w:tcW w:w="1030" w:type="dxa"/>
            <w:vAlign w:val="center"/>
          </w:tcPr>
          <w:p w:rsidR="002A1935" w:rsidRDefault="0067118C">
            <w:pPr>
              <w:jc w:val="left"/>
              <w:rPr>
                <w:rFonts w:ascii="宋体" w:hAnsi="宋体"/>
                <w:szCs w:val="21"/>
              </w:rPr>
            </w:pPr>
            <w:r>
              <w:rPr>
                <w:rFonts w:ascii="SimHei" w:hAnsi="SimHei" w:hint="eastAsia" w:eastAsia="黑体"/>
                <w:szCs w:val="21"/>
              </w:rPr>
              <w:t>序号</w:t>
            </w:r>
          </w:p>
        </w:tc>
        <w:tc>
          <w:tcPr>
            <w:tcW w:w="1332" w:type="dxa"/>
            <w:vAlign w:val="center"/>
          </w:tcPr>
          <w:p w:rsidR="002A1935" w:rsidRDefault="0067118C">
            <w:pPr>
              <w:jc w:val="left"/>
              <w:rPr>
                <w:rFonts w:ascii="宋体" w:hAnsi="宋体"/>
                <w:szCs w:val="21"/>
              </w:rPr>
            </w:pPr>
            <w:r>
              <w:rPr>
                <w:rFonts w:ascii="SimHei" w:hAnsi="SimHei" w:hint="eastAsia" w:eastAsia="黑体"/>
                <w:szCs w:val="21"/>
              </w:rPr>
              <w:t>目标类别</w:t>
            </w:r>
          </w:p>
        </w:tc>
        <w:tc>
          <w:tcPr>
            <w:tcW w:w="2680" w:type="dxa"/>
            <w:vAlign w:val="center"/>
          </w:tcPr>
          <w:p w:rsidR="002A1935" w:rsidRDefault="0067118C">
            <w:pPr>
              <w:jc w:val="left"/>
              <w:rPr>
                <w:rFonts w:ascii="宋体" w:hAnsi="宋体"/>
                <w:szCs w:val="21"/>
              </w:rPr>
            </w:pPr>
            <w:r>
              <w:rPr>
                <w:rFonts w:ascii="SimHei" w:hAnsi="SimHei" w:hint="eastAsia" w:eastAsia="黑体"/>
                <w:szCs w:val="21"/>
              </w:rPr>
              <w:t>职级名称</w:t>
            </w:r>
          </w:p>
        </w:tc>
        <w:tc>
          <w:tcPr>
            <w:tcW w:w="1259" w:type="dxa"/>
            <w:vAlign w:val="center"/>
          </w:tcPr>
          <w:p w:rsidR="002A1935" w:rsidRDefault="0067118C">
            <w:pPr>
              <w:jc w:val="left"/>
              <w:rPr>
                <w:rFonts w:ascii="宋体" w:hAnsi="宋体"/>
                <w:szCs w:val="21"/>
              </w:rPr>
            </w:pPr>
            <w:r>
              <w:rPr>
                <w:rFonts w:ascii="SimHei" w:hAnsi="SimHei" w:hint="eastAsia" w:eastAsia="黑体"/>
                <w:szCs w:val="21"/>
              </w:rPr>
              <w:t>学历要求</w:t>
            </w:r>
          </w:p>
        </w:tc>
        <w:tc>
          <w:tcPr>
            <w:tcW w:w="877" w:type="dxa"/>
            <w:vAlign w:val="center"/>
          </w:tcPr>
          <w:p w:rsidR="002A1935" w:rsidRDefault="0067118C">
            <w:pPr>
              <w:jc w:val="left"/>
              <w:rPr>
                <w:rFonts w:ascii="宋体" w:hAnsi="宋体"/>
                <w:szCs w:val="21"/>
              </w:rPr>
            </w:pPr>
            <w:r>
              <w:rPr>
                <w:rFonts w:ascii="SimHei" w:hAnsi="SimHei" w:hint="eastAsia" w:eastAsia="黑体"/>
                <w:szCs w:val="21"/>
              </w:rPr>
              <w:t>专业人员职称资格</w:t>
            </w:r>
          </w:p>
        </w:tc>
        <w:tc>
          <w:tcPr>
            <w:tcW w:w="1719" w:type="dxa"/>
            <w:vAlign w:val="center"/>
          </w:tcPr>
          <w:p w:rsidR="002A1935" w:rsidRDefault="0067118C">
            <w:pPr>
              <w:jc w:val="left"/>
              <w:rPr>
                <w:rFonts w:ascii="宋体" w:hAnsi="宋体"/>
                <w:szCs w:val="21"/>
              </w:rPr>
            </w:pPr>
            <w:r>
              <w:rPr>
                <w:rFonts w:ascii="SimHei" w:hAnsi="SimHei" w:hint="eastAsia" w:eastAsia="黑体"/>
                <w:szCs w:val="21"/>
              </w:rPr>
              <w:t>工作经验</w:t>
            </w:r>
          </w:p>
        </w:tc>
      </w:tr>
      <w:tr w:rsidR="002A1935">
        <w:trPr>
          <w:trHeight w:val="1433"/>
        </w:trPr>
        <w:tc>
          <w:tcPr>
            <w:tcW w:w="1030" w:type="dxa"/>
            <w:vAlign w:val="center"/>
          </w:tcPr>
          <w:p w:rsidR="002A1935" w:rsidRDefault="0067118C">
            <w:pPr>
              <w:jc w:val="center"/>
              <w:rPr>
                <w:rFonts w:ascii="宋体" w:hAnsi="宋体"/>
                <w:szCs w:val="21"/>
              </w:rPr>
            </w:pPr>
            <w:r>
              <w:rPr>
                <w:rFonts w:ascii="SimHei" w:hAnsi="SimHei" w:hint="eastAsia" w:eastAsia="黑体"/>
                <w:szCs w:val="21"/>
              </w:rPr>
              <w:t>1</w:t>
            </w:r>
          </w:p>
        </w:tc>
        <w:tc>
          <w:tcPr>
            <w:tcW w:w="1332" w:type="dxa"/>
            <w:vAlign w:val="center"/>
          </w:tcPr>
          <w:p w:rsidR="002A1935" w:rsidRDefault="0067118C">
            <w:pPr>
              <w:jc w:val="left"/>
              <w:rPr>
                <w:rFonts w:ascii="宋体" w:hAnsi="宋体"/>
                <w:szCs w:val="21"/>
              </w:rPr>
            </w:pPr>
            <w:r>
              <w:rPr>
                <w:rFonts w:ascii="SimHei" w:hAnsi="SimHei" w:hint="eastAsia" w:eastAsia="黑体"/>
                <w:szCs w:val="21"/>
              </w:rPr>
              <w:t>骨干人员</w:t>
            </w:r>
          </w:p>
        </w:tc>
        <w:tc>
          <w:tcPr>
            <w:tcW w:w="2680" w:type="dxa"/>
            <w:vAlign w:val="center"/>
          </w:tcPr>
          <w:p w:rsidR="002A1935" w:rsidRDefault="0067118C">
            <w:pPr>
              <w:jc w:val="left"/>
              <w:rPr>
                <w:rFonts w:ascii="宋体" w:hAnsi="宋体"/>
                <w:szCs w:val="21"/>
              </w:rPr>
            </w:pPr>
            <w:r>
              <w:rPr>
                <w:rFonts w:ascii="SimHei" w:hAnsi="SimHei" w:hint="eastAsia" w:eastAsia="黑体"/>
                <w:szCs w:val="21"/>
              </w:rPr>
              <w:t>包括助理级以下及相应其他序列岗位</w:t>
            </w:r>
          </w:p>
        </w:tc>
        <w:tc>
          <w:tcPr>
            <w:tcW w:w="1259" w:type="dxa"/>
            <w:vAlign w:val="center"/>
          </w:tcPr>
          <w:p w:rsidR="002A1935" w:rsidRDefault="0067118C">
            <w:pPr>
              <w:jc w:val="left"/>
              <w:rPr>
                <w:rFonts w:ascii="宋体" w:hAnsi="宋体"/>
                <w:szCs w:val="21"/>
              </w:rPr>
            </w:pPr>
            <w:r>
              <w:rPr>
                <w:rFonts w:ascii="SimHei" w:hAnsi="SimHei" w:hint="eastAsia" w:eastAsia="黑体"/>
                <w:szCs w:val="21"/>
              </w:rPr>
              <w:t>专科以上（工勤、操作类可以放宽要求）</w:t>
            </w:r>
          </w:p>
        </w:tc>
        <w:tc>
          <w:tcPr>
            <w:tcW w:w="877" w:type="dxa"/>
            <w:vAlign w:val="center"/>
          </w:tcPr>
          <w:p w:rsidR="002A1935" w:rsidRDefault="0067118C">
            <w:pPr>
              <w:jc w:val="left"/>
              <w:rPr>
                <w:rFonts w:ascii="宋体" w:hAnsi="宋体"/>
                <w:szCs w:val="21"/>
              </w:rPr>
            </w:pPr>
            <w:r>
              <w:rPr>
                <w:rFonts w:ascii="SimHei" w:hAnsi="SimHei" w:hint="eastAsia" w:eastAsia="黑体"/>
                <w:szCs w:val="21"/>
              </w:rPr>
              <w:t>初级职称或对应职业资格证</w:t>
            </w:r>
          </w:p>
        </w:tc>
        <w:tc>
          <w:tcPr>
            <w:tcW w:w="1719" w:type="dxa"/>
            <w:vAlign w:val="center"/>
          </w:tcPr>
          <w:p w:rsidR="002A1935" w:rsidRDefault="0067118C">
            <w:pPr>
              <w:jc w:val="left"/>
              <w:rPr>
                <w:rFonts w:ascii="宋体" w:hAnsi="宋体"/>
                <w:szCs w:val="21"/>
              </w:rPr>
            </w:pPr>
            <w:r>
              <w:rPr>
                <w:rFonts w:ascii="SimHei" w:hAnsi="SimHei" w:hint="eastAsia" w:eastAsia="黑体"/>
                <w:szCs w:val="21"/>
              </w:rPr>
              <w:t>本层级一年（含）以上相关工作经验</w:t>
            </w:r>
          </w:p>
        </w:tc>
      </w:tr>
      <w:tr w:rsidR="002A1935">
        <w:trPr>
          <w:trHeight w:val="1540"/>
        </w:trPr>
        <w:tc>
          <w:tcPr>
            <w:tcW w:w="1030" w:type="dxa"/>
            <w:vAlign w:val="center"/>
          </w:tcPr>
          <w:p w:rsidR="002A1935" w:rsidRDefault="0067118C">
            <w:pPr>
              <w:jc w:val="center"/>
              <w:rPr>
                <w:rFonts w:ascii="宋体" w:hAnsi="宋体"/>
                <w:szCs w:val="21"/>
              </w:rPr>
            </w:pPr>
            <w:r>
              <w:rPr>
                <w:rFonts w:ascii="SimHei" w:hAnsi="SimHei" w:hint="eastAsia" w:eastAsia="黑体"/>
                <w:szCs w:val="21"/>
              </w:rPr>
              <w:t>2</w:t>
            </w:r>
          </w:p>
        </w:tc>
        <w:tc>
          <w:tcPr>
            <w:tcW w:w="1332" w:type="dxa"/>
            <w:vAlign w:val="center"/>
          </w:tcPr>
          <w:p w:rsidR="002A1935" w:rsidRDefault="0067118C">
            <w:pPr>
              <w:jc w:val="left"/>
              <w:rPr>
                <w:rFonts w:ascii="宋体" w:hAnsi="宋体"/>
                <w:szCs w:val="21"/>
              </w:rPr>
            </w:pPr>
            <w:r>
              <w:rPr>
                <w:rFonts w:ascii="SimHei" w:hAnsi="SimHei" w:hint="eastAsia" w:eastAsia="黑体"/>
                <w:szCs w:val="21"/>
              </w:rPr>
              <w:t>管理人员</w:t>
            </w:r>
          </w:p>
        </w:tc>
        <w:tc>
          <w:tcPr>
            <w:tcW w:w="2680" w:type="dxa"/>
            <w:vAlign w:val="center"/>
          </w:tcPr>
          <w:p w:rsidR="002A1935" w:rsidRDefault="0067118C">
            <w:pPr>
              <w:jc w:val="left"/>
              <w:rPr>
                <w:rFonts w:ascii="宋体" w:hAnsi="宋体"/>
                <w:szCs w:val="21"/>
              </w:rPr>
            </w:pPr>
            <w:r>
              <w:rPr>
                <w:rFonts w:ascii="SimHei" w:hAnsi="SimHei" w:hint="eastAsia" w:eastAsia="黑体"/>
                <w:szCs w:val="21"/>
              </w:rPr>
              <w:t>包括助理、中副及相对应其它序列岗位</w:t>
            </w:r>
          </w:p>
        </w:tc>
        <w:tc>
          <w:tcPr>
            <w:tcW w:w="1259" w:type="dxa"/>
            <w:vAlign w:val="center"/>
          </w:tcPr>
          <w:p w:rsidR="002A1935" w:rsidRDefault="0067118C">
            <w:pPr>
              <w:jc w:val="left"/>
              <w:rPr>
                <w:rFonts w:ascii="宋体" w:hAnsi="宋体"/>
                <w:szCs w:val="21"/>
              </w:rPr>
            </w:pPr>
            <w:r>
              <w:rPr>
                <w:rFonts w:ascii="SimHei" w:hAnsi="SimHei" w:hint="eastAsia" w:eastAsia="黑体"/>
                <w:szCs w:val="21"/>
              </w:rPr>
              <w:t>本科及以上</w:t>
            </w:r>
          </w:p>
        </w:tc>
        <w:tc>
          <w:tcPr>
            <w:tcW w:w="877" w:type="dxa"/>
            <w:vAlign w:val="center"/>
          </w:tcPr>
          <w:p w:rsidR="002A1935" w:rsidRDefault="0067118C">
            <w:pPr>
              <w:jc w:val="left"/>
              <w:rPr>
                <w:rFonts w:ascii="宋体" w:hAnsi="宋体"/>
                <w:szCs w:val="21"/>
              </w:rPr>
            </w:pPr>
            <w:r>
              <w:rPr>
                <w:rFonts w:ascii="SimHei" w:hAnsi="SimHei" w:hint="eastAsia" w:eastAsia="黑体"/>
                <w:szCs w:val="21"/>
              </w:rPr>
              <w:t>中级职称或对应职业资格证</w:t>
            </w:r>
          </w:p>
        </w:tc>
        <w:tc>
          <w:tcPr>
            <w:tcW w:w="1719" w:type="dxa"/>
            <w:vAlign w:val="center"/>
          </w:tcPr>
          <w:p w:rsidR="002A1935" w:rsidRDefault="0067118C">
            <w:pPr>
              <w:jc w:val="left"/>
              <w:rPr>
                <w:rFonts w:ascii="宋体" w:hAnsi="宋体"/>
                <w:szCs w:val="21"/>
              </w:rPr>
            </w:pPr>
            <w:r>
              <w:rPr>
                <w:rFonts w:ascii="SimHei" w:hAnsi="SimHei" w:hint="eastAsia" w:eastAsia="黑体"/>
                <w:szCs w:val="21"/>
              </w:rPr>
              <w:t>本层级二年（含）以上相关工作经验</w:t>
            </w:r>
          </w:p>
          <w:p w:rsidR="002A1935" w:rsidRDefault="002A1935">
            <w:pPr>
              <w:jc w:val="left"/>
              <w:rPr>
                <w:rFonts w:ascii="宋体" w:hAnsi="宋体"/>
                <w:szCs w:val="21"/>
              </w:rPr>
            </w:pPr>
          </w:p>
        </w:tc>
      </w:tr>
      <w:tr w:rsidR="002A1935">
        <w:trPr>
          <w:trHeight w:val="1412"/>
        </w:trPr>
        <w:tc>
          <w:tcPr>
            <w:tcW w:w="1030" w:type="dxa"/>
            <w:vAlign w:val="center"/>
          </w:tcPr>
          <w:p w:rsidR="002A1935" w:rsidRDefault="0067118C">
            <w:pPr>
              <w:jc w:val="center"/>
              <w:rPr>
                <w:rFonts w:ascii="宋体" w:hAnsi="宋体"/>
                <w:szCs w:val="21"/>
              </w:rPr>
            </w:pPr>
            <w:r>
              <w:rPr>
                <w:rFonts w:ascii="SimHei" w:hAnsi="SimHei" w:hint="eastAsia" w:eastAsia="黑体"/>
                <w:szCs w:val="21"/>
              </w:rPr>
              <w:t>3</w:t>
            </w:r>
          </w:p>
        </w:tc>
        <w:tc>
          <w:tcPr>
            <w:tcW w:w="1332" w:type="dxa"/>
            <w:vAlign w:val="center"/>
          </w:tcPr>
          <w:p w:rsidR="002A1935" w:rsidRDefault="0067118C">
            <w:pPr>
              <w:jc w:val="left"/>
              <w:rPr>
                <w:rFonts w:ascii="宋体" w:hAnsi="宋体"/>
                <w:szCs w:val="21"/>
              </w:rPr>
            </w:pPr>
            <w:r>
              <w:rPr>
                <w:rFonts w:ascii="SimHei" w:hAnsi="SimHei" w:hint="eastAsia" w:eastAsia="黑体"/>
                <w:szCs w:val="21"/>
              </w:rPr>
              <w:t>决策人员</w:t>
            </w:r>
          </w:p>
        </w:tc>
        <w:tc>
          <w:tcPr>
            <w:tcW w:w="2680" w:type="dxa"/>
            <w:vAlign w:val="center"/>
          </w:tcPr>
          <w:p w:rsidR="002A1935" w:rsidRDefault="0067118C">
            <w:pPr>
              <w:jc w:val="left"/>
              <w:rPr>
                <w:rFonts w:ascii="宋体" w:hAnsi="宋体"/>
                <w:szCs w:val="21"/>
              </w:rPr>
            </w:pPr>
            <w:r>
              <w:rPr>
                <w:rFonts w:ascii="SimHei" w:hAnsi="SimHei" w:hint="eastAsia" w:eastAsia="黑体"/>
                <w:szCs w:val="21"/>
              </w:rPr>
              <w:t>中正、高副及相对应其它序列岗位</w:t>
            </w:r>
          </w:p>
        </w:tc>
        <w:tc>
          <w:tcPr>
            <w:tcW w:w="1259" w:type="dxa"/>
            <w:vAlign w:val="center"/>
          </w:tcPr>
          <w:p w:rsidR="002A1935" w:rsidRDefault="0067118C">
            <w:pPr>
              <w:jc w:val="left"/>
              <w:rPr>
                <w:rFonts w:ascii="宋体" w:hAnsi="宋体"/>
                <w:szCs w:val="21"/>
              </w:rPr>
            </w:pPr>
            <w:r>
              <w:rPr>
                <w:rFonts w:ascii="SimHei" w:hAnsi="SimHei" w:hint="eastAsia" w:eastAsia="黑体"/>
                <w:szCs w:val="21"/>
              </w:rPr>
              <w:t>本科及以上</w:t>
            </w:r>
          </w:p>
        </w:tc>
        <w:tc>
          <w:tcPr>
            <w:tcW w:w="877" w:type="dxa"/>
            <w:vAlign w:val="center"/>
          </w:tcPr>
          <w:p w:rsidR="002A1935" w:rsidRDefault="0067118C">
            <w:pPr>
              <w:jc w:val="left"/>
              <w:rPr>
                <w:rFonts w:ascii="宋体" w:hAnsi="宋体"/>
                <w:szCs w:val="21"/>
              </w:rPr>
            </w:pPr>
            <w:r>
              <w:rPr>
                <w:rFonts w:ascii="SimHei" w:hAnsi="SimHei" w:hint="eastAsia" w:eastAsia="黑体"/>
                <w:szCs w:val="21"/>
              </w:rPr>
              <w:t>高级职称或对应职业资格证</w:t>
            </w:r>
          </w:p>
        </w:tc>
        <w:tc>
          <w:tcPr>
            <w:tcW w:w="1719" w:type="dxa"/>
            <w:vAlign w:val="center"/>
          </w:tcPr>
          <w:p w:rsidR="002A1935" w:rsidRDefault="0067118C">
            <w:pPr>
              <w:jc w:val="left"/>
              <w:rPr>
                <w:rFonts w:ascii="宋体" w:hAnsi="宋体"/>
                <w:szCs w:val="21"/>
              </w:rPr>
            </w:pPr>
            <w:r>
              <w:rPr>
                <w:rFonts w:ascii="SimHei" w:hAnsi="SimHei" w:hint="eastAsia" w:eastAsia="黑体"/>
                <w:szCs w:val="21"/>
              </w:rPr>
              <w:t>本层级三年（含）以上相关工作经验</w:t>
            </w:r>
          </w:p>
          <w:p w:rsidR="002A1935" w:rsidRDefault="002A1935">
            <w:pPr>
              <w:jc w:val="left"/>
              <w:rPr>
                <w:rFonts w:ascii="宋体" w:hAnsi="宋体"/>
                <w:szCs w:val="21"/>
              </w:rPr>
            </w:pPr>
          </w:p>
        </w:tc>
      </w:tr>
    </w:tbl>
    <w:p w:rsidR="002A1935" w:rsidRDefault="0067118C" w:rsidP="00376E18">
      <w:pPr>
        <w:spacing w:beforeLines="50" w:line="360" w:lineRule="auto"/>
        <w:jc w:val="left"/>
        <w:rPr>
          <w:rFonts w:ascii="宋体" w:hAnsi="宋体"/>
          <w:sz w:val="28"/>
          <w:szCs w:val="28"/>
        </w:rPr>
      </w:pPr>
      <w:r>
        <w:rPr>
          <w:rFonts w:ascii="SimHei" w:hAnsi="SimHei" w:hint="eastAsia" w:eastAsia="黑体"/>
          <w:sz w:val="28"/>
          <w:szCs w:val="28"/>
        </w:rPr>
        <w:t>二、员工晋升要求</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（一）本着优中选优的原则，晋升人员数量应控制在部门在岗人员数量的15%-20%。</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（二）考评期内晋升执行办法：</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1、在一个考评周期内，若个人考核等级出现3次以上“优秀”等级或4次及以上“良好”等级，可获得职务职级晋升资格；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2、在一个考评周期内，只要个人考核等级出现1次“较差”及以下等级，则失去职务职级晋升资格。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3、在一个考评周期内，只要个人考核等级出现2次“不合格”等级，则职务职级下降一级。</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（三）日常培训要求：拟晋升员工务必按照卓达学院所设置的日常培训计划，参加指定培训或自学提升课程，课时达到设定要求，否则不具备晋升资格。</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（四）具备拟晋升职务所需任职资格及胜任能力：由人力资源管理中心统一组织审核员工拟晋升职务的胜任能力考核和任职资格考核，由各级人力资源部门执行考核。</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（五）提升培训要求：某集团组织的管理提升培训，设定专项课程和考试办法，由卓达学院进行具体操作和执行。培训考试不合格者，将取消晋升资格。</w:t>
      </w:r>
    </w:p>
    <w:p w:rsidR="002A1935" w:rsidRDefault="0067118C">
      <w:pPr>
        <w:jc w:val="left"/>
        <w:rPr>
          <w:rFonts w:ascii="宋体" w:hAnsi="宋体"/>
          <w:sz w:val="28"/>
          <w:szCs w:val="28"/>
        </w:rPr>
      </w:pPr>
      <w:r>
        <w:rPr>
          <w:rFonts w:ascii="SimHei" w:hAnsi="SimHei" w:hint="eastAsia" w:eastAsia="黑体"/>
          <w:sz w:val="28"/>
          <w:szCs w:val="28"/>
        </w:rPr>
        <w:t>三、</w:t>
      </w:r>
      <w:r>
        <w:rPr>
          <w:rFonts w:ascii="SimHei" w:hAnsi="SimHei" w:eastAsia="黑体"/>
          <w:sz w:val="28"/>
          <w:szCs w:val="28"/>
        </w:rPr>
        <w:t xml:space="preserve"> </w:t>
      </w:r>
      <w:r>
        <w:rPr>
          <w:rFonts w:ascii="SimHei" w:hAnsi="SimHei" w:hint="eastAsia" w:eastAsia="黑体"/>
          <w:sz w:val="28"/>
          <w:szCs w:val="28"/>
        </w:rPr>
        <w:t>员工晋升的办理</w:t>
      </w:r>
    </w:p>
    <w:p w:rsidR="002A1935" w:rsidRDefault="0067118C" w:rsidP="00376E18">
      <w:pPr>
        <w:spacing w:beforeLines="50" w:afterLines="50"/>
        <w:jc w:val="left"/>
        <w:rPr>
          <w:rFonts w:ascii="宋体" w:hAnsi="宋体"/>
          <w:sz w:val="28"/>
          <w:szCs w:val="28"/>
        </w:rPr>
      </w:pPr>
      <w:r>
        <w:rPr>
          <w:rFonts w:ascii="SimHei" w:hAnsi="SimHei" w:hint="eastAsia" w:eastAsia="黑体"/>
          <w:sz w:val="28"/>
          <w:szCs w:val="28"/>
        </w:rPr>
        <w:t>（一）、晋升流程</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1、晋升人员选定：</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w:t>
      </w:r>
      <w:r>
        <w:rPr>
          <w:rFonts w:ascii="SimHei" w:hAnsi="SimHei" w:eastAsia="黑体"/>
          <w:sz w:val="28"/>
          <w:szCs w:val="28"/>
        </w:rPr>
        <w:t>1)</w:t>
      </w:r>
      <w:r>
        <w:rPr>
          <w:rFonts w:ascii="SimHei" w:hAnsi="SimHei" w:hint="eastAsia" w:eastAsia="黑体"/>
          <w:sz w:val="28"/>
          <w:szCs w:val="28"/>
        </w:rPr>
        <w:t>推荐：由员工任职部门推荐的，填写《员工晋升推荐表》，经所在部门负责人、所在系统人力部门和所在系统负责人审核后交人力资源管理中心。</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w:t>
      </w:r>
      <w:r>
        <w:rPr>
          <w:rFonts w:ascii="SimHei" w:hAnsi="SimHei" w:eastAsia="黑体"/>
          <w:sz w:val="28"/>
          <w:szCs w:val="28"/>
        </w:rPr>
        <w:t>2)</w:t>
      </w:r>
      <w:r>
        <w:rPr>
          <w:rFonts w:ascii="SimHei" w:hAnsi="SimHei" w:hint="eastAsia" w:eastAsia="黑体"/>
          <w:sz w:val="28"/>
          <w:szCs w:val="28"/>
        </w:rPr>
        <w:t>自荐：由员工自荐的</w:t>
      </w:r>
      <w:r>
        <w:rPr>
          <w:rFonts w:ascii="SimHei" w:hAnsi="SimHei" w:eastAsia="黑体"/>
          <w:sz w:val="28"/>
          <w:szCs w:val="28"/>
        </w:rPr>
        <w:t>,</w:t>
      </w:r>
      <w:r>
        <w:rPr>
          <w:rFonts w:ascii="SimHei" w:hAnsi="SimHei" w:hint="eastAsia" w:eastAsia="黑体"/>
          <w:sz w:val="28"/>
          <w:szCs w:val="28"/>
        </w:rPr>
        <w:t>填写《员工晋升申请表》，经所在部门负责人、所在系统人力部门和所在系统负责人审核后交人力资源管理中心。</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2、晋升考核：人力资源管理中心根据拟晋升职务要求，对所有人选的任职资格进行审查，对于审查符合条件的，组织用人部门及其他相关人员对其按照拟任职岗位要求进行考核。填写《员工晋升考核表》。</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3、培训审核：由卓达学院对初步拟晋升名单进行日常培训要求达标审核。</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4、胜任力及任职资格考核：由人力资源管理中心统一组织员工拟晋升职务的胜任力及任职资格考核，由各级人力资源部门执行考核后将结果交至人力资源管理中心。</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5、培训考试：由卓达学院组织拟进入晋升名单人员的管理提升培训并汇总考试成绩。</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6、结果确认：集团中高层人员的晋升由提名与薪酬委员会汇总最终考核结果，集团其他人员的晋升由人力资源管理中心会汇总最终考核结果，经会议讨论后一并报总裁批示，批示通过后公示一周发布任免通知。</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7、提名考察：经批准晋升后，员工进入提名考察期，考察期考核合格方可正式上任。骨干人员考察期为1个月，管理人员考察期为2个月，决策人员考察期为3个月。提名考察期与管理提升培训可同期进行。</w:t>
      </w:r>
    </w:p>
    <w:p w:rsidR="002A1935" w:rsidRDefault="0067118C">
      <w:pPr>
        <w:jc w:val="left"/>
        <w:rPr>
          <w:rFonts w:ascii="宋体" w:hAnsi="宋体"/>
          <w:sz w:val="28"/>
          <w:szCs w:val="28"/>
        </w:rPr>
      </w:pPr>
      <w:r>
        <w:rPr>
          <w:rFonts w:ascii="SimHei" w:hAnsi="SimHei" w:hint="eastAsia" w:eastAsia="黑体"/>
          <w:sz w:val="28"/>
          <w:szCs w:val="28"/>
        </w:rPr>
        <w:t>四、</w:t>
      </w:r>
      <w:r>
        <w:rPr>
          <w:rFonts w:ascii="SimHei" w:hAnsi="SimHei" w:eastAsia="黑体"/>
          <w:sz w:val="28"/>
          <w:szCs w:val="28"/>
        </w:rPr>
        <w:t xml:space="preserve"> </w:t>
      </w:r>
      <w:r>
        <w:rPr>
          <w:rFonts w:ascii="SimHei" w:hAnsi="SimHei" w:hint="eastAsia" w:eastAsia="黑体"/>
          <w:sz w:val="28"/>
          <w:szCs w:val="28"/>
        </w:rPr>
        <w:t>其他相关规定</w:t>
      </w:r>
    </w:p>
    <w:p w:rsidR="002A1935" w:rsidRDefault="0067118C">
      <w:pPr>
        <w:spacing w:line="360" w:lineRule="auto"/>
        <w:jc w:val="left"/>
        <w:rPr>
          <w:rFonts w:ascii="宋体" w:hAnsi="宋体"/>
          <w:sz w:val="28"/>
          <w:szCs w:val="28"/>
        </w:rPr>
      </w:pPr>
      <w:r>
        <w:rPr>
          <w:rFonts w:ascii="SimHei" w:hAnsi="SimHei" w:hint="eastAsia" w:eastAsia="黑体"/>
          <w:sz w:val="28"/>
          <w:szCs w:val="28"/>
        </w:rPr>
        <w:t>（一）、晋升条件不足时可设职务代理：</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1、职务出现空缺时，若已有具备晋升条件的适当人选，可择机依据本办法执行晋升流程（不包含执行竞聘的岗位）。</w:t>
      </w:r>
    </w:p>
    <w:p w:rsidR="002A1935" w:rsidRDefault="0067118C">
      <w:pPr>
        <w:spacing w:line="360" w:lineRule="auto"/>
        <w:ind w:firstLineChars="200" w:firstLine="560"/>
        <w:jc w:val="left"/>
        <w:rPr>
          <w:rFonts w:ascii="宋体" w:hAnsi="宋体"/>
          <w:b/>
          <w:sz w:val="28"/>
          <w:szCs w:val="28"/>
        </w:rPr>
      </w:pPr>
      <w:r>
        <w:rPr>
          <w:rFonts w:ascii="SimHei" w:hAnsi="SimHei" w:hint="eastAsia" w:eastAsia="黑体"/>
          <w:sz w:val="28"/>
          <w:szCs w:val="28"/>
        </w:rPr>
        <w:t>2、各级职务出现空缺时，若无具备晋升条件的人员派任，应择优提升适合人员代理职务。</w:t>
      </w:r>
    </w:p>
    <w:p w:rsidR="002A1935" w:rsidRDefault="0067118C" w:rsidP="00376E18">
      <w:pPr>
        <w:spacing w:beforeLines="50" w:afterLines="50"/>
        <w:jc w:val="left"/>
        <w:rPr>
          <w:rFonts w:ascii="宋体" w:hAnsi="宋体"/>
          <w:sz w:val="28"/>
          <w:szCs w:val="28"/>
        </w:rPr>
      </w:pPr>
      <w:r>
        <w:rPr>
          <w:rFonts w:ascii="SimHei" w:hAnsi="SimHei" w:hint="eastAsia" w:eastAsia="黑体"/>
          <w:sz w:val="28"/>
          <w:szCs w:val="28"/>
        </w:rPr>
        <w:t>（二）、岗位轮换：</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1、在同一部门同一岗位超过4年的管理类人员可执行轮岗；</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2、大学本科及以上，有一定的专业技术知识和管理经验，有较大发展潜力的员工可执行轮岗。</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3、某集团发展需要，由人力资源管理中心组织各级人力资源部门会同各用人部门拟定参加轮换的管理岗位名单。</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4、岗位轮换的具体操作按内部调动形式进行。</w:t>
      </w:r>
    </w:p>
    <w:p w:rsidR="002A1935" w:rsidRDefault="002A1935">
      <w:pPr>
        <w:spacing w:line="360" w:lineRule="auto"/>
        <w:jc w:val="left"/>
        <w:rPr>
          <w:rFonts w:ascii="宋体" w:hAnsi="宋体"/>
          <w:sz w:val="28"/>
          <w:szCs w:val="28"/>
        </w:rPr>
      </w:pPr>
    </w:p>
    <w:p w:rsidR="002A1935" w:rsidRDefault="0067118C">
      <w:pPr>
        <w:spacing w:line="360" w:lineRule="auto"/>
        <w:jc w:val="left"/>
        <w:rPr>
          <w:rFonts w:ascii="宋体" w:hAnsi="宋体"/>
          <w:sz w:val="28"/>
          <w:szCs w:val="28"/>
        </w:rPr>
      </w:pPr>
      <w:r>
        <w:rPr>
          <w:rFonts w:ascii="SimHei" w:hAnsi="SimHei" w:hint="eastAsia" w:eastAsia="黑体"/>
          <w:sz w:val="28"/>
          <w:szCs w:val="28"/>
        </w:rPr>
        <w:t>附件：</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1</w:t>
      </w:r>
      <w:r>
        <w:rPr>
          <w:rFonts w:ascii="SimHei" w:hAnsi="SimHei" w:eastAsia="黑体"/>
          <w:sz w:val="28"/>
          <w:szCs w:val="28"/>
        </w:rPr>
        <w:t>.</w:t>
      </w:r>
      <w:r>
        <w:rPr>
          <w:rFonts w:ascii="SimHei" w:hAnsi="SimHei" w:hint="eastAsia" w:eastAsia="黑体"/>
          <w:sz w:val="28"/>
          <w:szCs w:val="28"/>
        </w:rPr>
        <w:t>员工职业发展规划表</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2</w:t>
      </w:r>
      <w:r>
        <w:rPr>
          <w:rFonts w:ascii="SimHei" w:hAnsi="SimHei" w:eastAsia="黑体"/>
          <w:sz w:val="28"/>
          <w:szCs w:val="28"/>
        </w:rPr>
        <w:t>.</w:t>
      </w:r>
      <w:r>
        <w:rPr>
          <w:rFonts w:ascii="SimHei" w:hAnsi="SimHei" w:hint="eastAsia" w:eastAsia="黑体"/>
          <w:sz w:val="28"/>
          <w:szCs w:val="28"/>
        </w:rPr>
        <w:t>员工晋升推荐表</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3</w:t>
      </w:r>
      <w:r>
        <w:rPr>
          <w:rFonts w:ascii="SimHei" w:hAnsi="SimHei" w:eastAsia="黑体"/>
          <w:sz w:val="28"/>
          <w:szCs w:val="28"/>
        </w:rPr>
        <w:t>.</w:t>
      </w:r>
      <w:r>
        <w:rPr>
          <w:rFonts w:ascii="SimHei" w:hAnsi="SimHei" w:hint="eastAsia" w:eastAsia="黑体"/>
          <w:sz w:val="28"/>
          <w:szCs w:val="28"/>
        </w:rPr>
        <w:t>员工晋升申请表</w:t>
      </w:r>
    </w:p>
    <w:p w:rsidR="002A1935" w:rsidRDefault="0067118C">
      <w:pPr>
        <w:spacing w:line="360" w:lineRule="auto"/>
        <w:ind w:firstLineChars="200" w:firstLine="560"/>
        <w:jc w:val="left"/>
        <w:rPr>
          <w:rFonts w:ascii="宋体" w:hAnsi="宋体"/>
          <w:sz w:val="28"/>
          <w:szCs w:val="28"/>
        </w:rPr>
      </w:pPr>
      <w:r>
        <w:rPr>
          <w:rFonts w:ascii="SimHei" w:hAnsi="SimHei" w:hint="eastAsia" w:eastAsia="黑体"/>
          <w:sz w:val="28"/>
          <w:szCs w:val="28"/>
        </w:rPr>
        <w:t>4</w:t>
      </w:r>
      <w:r>
        <w:rPr>
          <w:rFonts w:ascii="SimHei" w:hAnsi="SimHei" w:eastAsia="黑体"/>
          <w:sz w:val="28"/>
          <w:szCs w:val="28"/>
        </w:rPr>
        <w:t>.</w:t>
      </w:r>
      <w:r>
        <w:rPr>
          <w:rFonts w:ascii="SimHei" w:hAnsi="SimHei" w:hint="eastAsia" w:eastAsia="黑体"/>
          <w:sz w:val="28"/>
          <w:szCs w:val="28"/>
        </w:rPr>
        <w:t>员工晋升考核表</w:t>
      </w:r>
    </w:p>
    <w:p w:rsidR="002A1935" w:rsidRDefault="002A1935">
      <w:pPr>
        <w:spacing w:line="360" w:lineRule="auto"/>
        <w:ind w:firstLineChars="200" w:firstLine="560"/>
        <w:jc w:val="left"/>
        <w:rPr>
          <w:rFonts w:ascii="宋体" w:hAnsi="宋体"/>
          <w:sz w:val="28"/>
          <w:szCs w:val="28"/>
        </w:rPr>
      </w:pPr>
      <w:bookmarkStart w:id="0" w:name="_Toc525912012"/>
    </w:p>
    <w:p w:rsidR="002A1935" w:rsidRDefault="002A1935">
      <w:pPr>
        <w:spacing w:line="360" w:lineRule="auto"/>
        <w:ind w:firstLineChars="200" w:firstLine="560"/>
        <w:jc w:val="left"/>
        <w:rPr>
          <w:rFonts w:ascii="宋体" w:hAnsi="宋体"/>
          <w:sz w:val="28"/>
          <w:szCs w:val="28"/>
        </w:rPr>
      </w:pPr>
    </w:p>
    <w:bookmarkEnd w:id="0"/>
    <w:p w:rsidR="002A1935" w:rsidRDefault="0067118C">
      <w:pPr>
        <w:spacing w:line="360" w:lineRule="auto"/>
        <w:ind w:firstLineChars="200" w:firstLine="560"/>
        <w:jc w:val="right"/>
        <w:rPr>
          <w:rFonts w:ascii="宋体" w:hAnsi="宋体"/>
          <w:sz w:val="28"/>
          <w:szCs w:val="28"/>
        </w:rPr>
      </w:pPr>
      <w:r>
        <w:rPr>
          <w:rFonts w:ascii="SimHei" w:hAnsi="SimHei" w:hint="eastAsia" w:eastAsia="黑体"/>
          <w:sz w:val="28"/>
          <w:szCs w:val="28"/>
        </w:rPr>
        <w:t>人力资源管理中心</w:t>
      </w:r>
    </w:p>
    <w:p w:rsidR="002A1935" w:rsidRDefault="0067118C">
      <w:pPr>
        <w:spacing w:line="360" w:lineRule="auto"/>
        <w:ind w:firstLineChars="200" w:firstLine="560"/>
        <w:jc w:val="right"/>
        <w:rPr>
          <w:rFonts w:ascii="宋体" w:hAnsi="宋体"/>
          <w:sz w:val="28"/>
          <w:szCs w:val="28"/>
        </w:rPr>
      </w:pPr>
      <w:r>
        <w:rPr>
          <w:rFonts w:ascii="SimHei" w:hAnsi="SimHei" w:hint="eastAsia" w:eastAsia="黑体"/>
          <w:sz w:val="28"/>
          <w:szCs w:val="28"/>
        </w:rPr>
        <w:t>二〇一五年八月七日</w:t>
      </w:r>
    </w:p>
    <w:sectPr w:rsidR="002A1935" w:rsidSect="002A1935">
      <w:footerReference w:type="even" r:id="rId8"/>
      <w:pgSz w:w="11906" w:h="16838"/>
      <w:pgMar w:top="1134" w:right="1558" w:bottom="1134"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94" w:rsidRDefault="007F2C94">
      <w:r>
        <w:separator/>
      </w:r>
    </w:p>
  </w:endnote>
  <w:endnote w:type="continuationSeparator" w:id="0">
    <w:p w:rsidR="007F2C94" w:rsidRDefault="007F2C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35" w:rsidRDefault="006F266D">
    <w:pPr>
      <w:pStyle w:val="a6"/>
      <w:framePr w:h="0" w:wrap="around" w:vAnchor="text" w:hAnchor="margin" w:xAlign="right" w:y="1"/>
      <w:rPr>
        <w:rStyle w:val="a3"/>
      </w:rPr>
    </w:pPr>
    <w:r>
      <w:fldChar w:fldCharType="begin"/>
    </w:r>
    <w:r w:rsidR="0067118C">
      <w:rPr>
        <w:rStyle w:val="a3"/>
      </w:rPr>
      <w:instrText xml:space="preserve">PAGE  </w:instrText>
    </w:r>
    <w:r>
      <w:fldChar w:fldCharType="end"/>
    </w:r>
  </w:p>
  <w:p w:rsidR="002A1935" w:rsidRDefault="002A193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94" w:rsidRDefault="007F2C94">
      <w:r>
        <w:separator/>
      </w:r>
    </w:p>
  </w:footnote>
  <w:footnote w:type="continuationSeparator" w:id="0">
    <w:p w:rsidR="007F2C94" w:rsidRDefault="007F2C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564A"/>
    <w:multiLevelType w:val="hybridMultilevel"/>
    <w:tmpl w:val="1AA6BE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E9F3CE1"/>
    <w:multiLevelType w:val="hybridMultilevel"/>
    <w:tmpl w:val="CF36CE62"/>
    <w:lvl w:ilvl="0" w:tplc="546C49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0DE31D6"/>
    <w:multiLevelType w:val="hybridMultilevel"/>
    <w:tmpl w:val="ED0A3938"/>
    <w:lvl w:ilvl="0" w:tplc="3A402FF2">
      <w:start w:val="1"/>
      <w:numFmt w:val="japaneseCounting"/>
      <w:lvlText w:val="(%1)"/>
      <w:lvlJc w:val="left"/>
      <w:pPr>
        <w:ind w:left="1700" w:hanging="11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935"/>
    <w:rsid w:val="000113C9"/>
    <w:rsid w:val="0017062C"/>
    <w:rsid w:val="001C03F6"/>
    <w:rsid w:val="002A1935"/>
    <w:rsid w:val="00311000"/>
    <w:rsid w:val="00376E18"/>
    <w:rsid w:val="003E4EC9"/>
    <w:rsid w:val="0067118C"/>
    <w:rsid w:val="006F266D"/>
    <w:rsid w:val="007210DE"/>
    <w:rsid w:val="007F2C94"/>
    <w:rsid w:val="00980C41"/>
    <w:rsid w:val="009B2D46"/>
    <w:rsid w:val="00D260A9"/>
    <w:rsid w:val="00F26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1935"/>
    <w:pPr>
      <w:widowControl w:val="0"/>
      <w:jc w:val="both"/>
    </w:pPr>
    <w:rPr>
      <w:kern w:val="2"/>
      <w:sz w:val="21"/>
      <w:szCs w:val="24"/>
    </w:rPr>
  </w:style>
  <w:style w:type="paragraph" w:styleId="1">
    <w:name w:val="heading 1"/>
    <w:basedOn w:val="a"/>
    <w:qFormat/>
    <w:rsid w:val="002A193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A1935"/>
  </w:style>
  <w:style w:type="character" w:styleId="a4">
    <w:name w:val="Hyperlink"/>
    <w:basedOn w:val="a0"/>
    <w:rsid w:val="002A1935"/>
    <w:rPr>
      <w:strike w:val="0"/>
      <w:dstrike w:val="0"/>
      <w:color w:val="000000"/>
      <w:u w:val="none"/>
    </w:rPr>
  </w:style>
  <w:style w:type="paragraph" w:styleId="a5">
    <w:name w:val="header"/>
    <w:basedOn w:val="a"/>
    <w:rsid w:val="002A1935"/>
    <w:pPr>
      <w:pBdr>
        <w:bottom w:val="single" w:sz="6" w:space="1" w:color="auto"/>
      </w:pBdr>
      <w:tabs>
        <w:tab w:val="center" w:pos="4153"/>
        <w:tab w:val="right" w:pos="8306"/>
      </w:tabs>
      <w:snapToGrid w:val="0"/>
      <w:jc w:val="center"/>
    </w:pPr>
    <w:rPr>
      <w:sz w:val="18"/>
      <w:szCs w:val="18"/>
    </w:rPr>
  </w:style>
  <w:style w:type="paragraph" w:styleId="a6">
    <w:name w:val="footer"/>
    <w:basedOn w:val="a"/>
    <w:rsid w:val="002A1935"/>
    <w:pPr>
      <w:tabs>
        <w:tab w:val="center" w:pos="4153"/>
        <w:tab w:val="right" w:pos="8306"/>
      </w:tabs>
      <w:snapToGrid w:val="0"/>
      <w:jc w:val="left"/>
    </w:pPr>
    <w:rPr>
      <w:sz w:val="18"/>
      <w:szCs w:val="18"/>
    </w:rPr>
  </w:style>
  <w:style w:type="paragraph" w:customStyle="1" w:styleId="reader-word-layer">
    <w:name w:val="reader-word-layer"/>
    <w:basedOn w:val="a"/>
    <w:rsid w:val="002A1935"/>
    <w:pPr>
      <w:widowControl/>
      <w:spacing w:before="100" w:beforeAutospacing="1" w:after="100" w:afterAutospacing="1"/>
      <w:jc w:val="left"/>
    </w:pPr>
    <w:rPr>
      <w:rFonts w:ascii="宋体" w:hAnsi="宋体" w:cs="宋体"/>
      <w:kern w:val="0"/>
      <w:sz w:val="24"/>
    </w:rPr>
  </w:style>
  <w:style w:type="paragraph" w:styleId="a7">
    <w:name w:val="Balloon Text"/>
    <w:basedOn w:val="a"/>
    <w:link w:val="Char"/>
    <w:rsid w:val="002A1935"/>
    <w:rPr>
      <w:sz w:val="18"/>
      <w:szCs w:val="18"/>
    </w:rPr>
  </w:style>
  <w:style w:type="character" w:customStyle="1" w:styleId="Char">
    <w:name w:val="批注框文本 Char"/>
    <w:basedOn w:val="a0"/>
    <w:link w:val="a7"/>
    <w:rsid w:val="002A1935"/>
    <w:rPr>
      <w:kern w:val="2"/>
      <w:sz w:val="18"/>
      <w:szCs w:val="18"/>
    </w:rPr>
  </w:style>
  <w:style w:type="table" w:styleId="a8">
    <w:name w:val="Table Grid"/>
    <w:basedOn w:val="a1"/>
    <w:uiPriority w:val="59"/>
    <w:rsid w:val="002A193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A1935"/>
    <w:pPr>
      <w:ind w:firstLineChars="200" w:firstLine="420"/>
    </w:pPr>
  </w:style>
  <w:style w:type="character" w:styleId="aa">
    <w:name w:val="annotation reference"/>
    <w:basedOn w:val="a0"/>
    <w:rsid w:val="002A1935"/>
    <w:rPr>
      <w:sz w:val="21"/>
      <w:szCs w:val="21"/>
    </w:rPr>
  </w:style>
  <w:style w:type="paragraph" w:styleId="ab">
    <w:name w:val="annotation text"/>
    <w:basedOn w:val="a"/>
    <w:link w:val="Char0"/>
    <w:rsid w:val="002A1935"/>
    <w:pPr>
      <w:jc w:val="left"/>
    </w:pPr>
  </w:style>
  <w:style w:type="character" w:customStyle="1" w:styleId="Char0">
    <w:name w:val="批注文字 Char"/>
    <w:basedOn w:val="a0"/>
    <w:link w:val="ab"/>
    <w:rsid w:val="002A1935"/>
    <w:rPr>
      <w:kern w:val="2"/>
      <w:sz w:val="21"/>
      <w:szCs w:val="24"/>
    </w:rPr>
  </w:style>
  <w:style w:type="paragraph" w:styleId="ac">
    <w:name w:val="annotation subject"/>
    <w:basedOn w:val="ab"/>
    <w:next w:val="ab"/>
    <w:link w:val="Char1"/>
    <w:rsid w:val="002A1935"/>
    <w:rPr>
      <w:b/>
      <w:bCs/>
    </w:rPr>
  </w:style>
  <w:style w:type="character" w:customStyle="1" w:styleId="Char1">
    <w:name w:val="批注主题 Char"/>
    <w:basedOn w:val="Char0"/>
    <w:link w:val="ac"/>
    <w:rsid w:val="002A1935"/>
    <w:rPr>
      <w:b/>
      <w:bCs/>
    </w:rPr>
  </w:style>
</w:styles>
</file>

<file path=word/webSettings.xml><?xml version="1.0" encoding="utf-8"?>
<w:webSettings xmlns:r="http://schemas.openxmlformats.org/officeDocument/2006/relationships" xmlns:w="http://schemas.openxmlformats.org/wordprocessingml/2006/main">
  <w:divs>
    <w:div w:id="409742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3C997-D750-43A4-802B-DF771516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9</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员工晋升管理办法(试行)</dc:title>
  <dc:creator>Crown</dc:creator>
  <cp:lastModifiedBy>xbany</cp:lastModifiedBy>
  <cp:revision>234</cp:revision>
  <cp:lastPrinted>2008-10-30T02:03:00Z</cp:lastPrinted>
  <dcterms:created xsi:type="dcterms:W3CDTF">2015-07-18T06:04:00Z</dcterms:created>
  <dcterms:modified xsi:type="dcterms:W3CDTF">2017-06-12T02:27:00Z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