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SimSun" w:hAnsi="宋体;SimSun" w:cs="宋体;SimSun"/>
          <w:sz w:val="36"/>
          <w:szCs w:val="36"/>
        </w:rPr>
      </w:pPr>
      <w:r>
        <w:rPr>
          <w:rFonts w:ascii="SimHei" w:hAnsi="SimHei" w:cs="宋体;SimSun" w:eastAsia="黑体"/>
          <w:sz w:val="36"/>
          <w:szCs w:val="36"/>
        </w:rPr>
        <w:t>员工内部转岗管理办法</w:t>
      </w:r>
    </w:p>
    <w:p>
      <w:pPr>
        <w:pStyle w:val="Style17"/>
        <w:numPr>
          <w:ilvl w:val="0"/>
          <w:numId w:val="2"/>
        </w:numPr>
        <w:spacing w:lineRule="auto" w:line="360"/>
        <w:rPr>
          <w:rFonts w:ascii="宋体;SimSun" w:hAnsi="宋体;SimSun" w:cs="宋体;SimSun"/>
          <w:sz w:val="24"/>
          <w:szCs w:val="24"/>
        </w:rPr>
      </w:pPr>
      <w:r>
        <w:rPr>
          <w:rFonts w:ascii="SimHei" w:hAnsi="SimHei" w:cs="宋体;SimSun" w:eastAsia="黑体"/>
          <w:sz w:val="24"/>
          <w:szCs w:val="24"/>
        </w:rPr>
        <w:t>目的</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为规范员工内部转岗流程，</w:t>
      </w:r>
      <w:r>
        <w:rPr>
          <w:rFonts w:ascii="SimHei" w:hAnsi="SimHei" w:cs="宋体;SimSun" w:eastAsia="黑体"/>
          <w:color w:val="FF0000"/>
          <w:sz w:val="24"/>
          <w:szCs w:val="24"/>
        </w:rPr>
        <w:t>鼓励员工横向发展</w:t>
      </w:r>
      <w:r>
        <w:rPr>
          <w:rFonts w:ascii="SimHei" w:hAnsi="SimHei" w:cs="宋体;SimSun" w:eastAsia="黑体"/>
          <w:sz w:val="24"/>
          <w:szCs w:val="24"/>
        </w:rPr>
        <w:t>，为员工提供公平公正的职业选择及发展机会，达到人力资源的有效利用，特制定本规定。</w:t>
      </w:r>
    </w:p>
    <w:p>
      <w:pPr>
        <w:pStyle w:val="Style17"/>
        <w:numPr>
          <w:ilvl w:val="0"/>
          <w:numId w:val="2"/>
        </w:numPr>
        <w:spacing w:lineRule="auto" w:line="360"/>
        <w:rPr>
          <w:rFonts w:ascii="宋体;SimSun" w:hAnsi="宋体;SimSun" w:cs="宋体;SimSun"/>
          <w:sz w:val="24"/>
          <w:szCs w:val="24"/>
        </w:rPr>
      </w:pPr>
      <w:r>
        <w:rPr>
          <w:rFonts w:ascii="SimHei" w:hAnsi="SimHei" w:cs="宋体;SimSun" w:eastAsia="黑体"/>
          <w:sz w:val="24"/>
          <w:szCs w:val="24"/>
        </w:rPr>
        <w:t>适用范围</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适用于</w:t>
      </w:r>
      <w:r>
        <w:rPr>
          <w:rFonts w:cs="宋体;SimSun" w:ascii="SimHei" w:hAnsi="SimHei" w:eastAsia="黑体"/>
          <w:sz w:val="24"/>
          <w:szCs w:val="24"/>
        </w:rPr>
        <w:t>**</w:t>
      </w:r>
      <w:r>
        <w:rPr>
          <w:rFonts w:ascii="SimHei" w:hAnsi="SimHei" w:cs="宋体;SimSun" w:eastAsia="黑体"/>
          <w:sz w:val="24"/>
          <w:szCs w:val="24"/>
        </w:rPr>
        <w:t>公司所有部门及员工，且该规定仅适用于内部平、降级转岗情况，员工晋升办法参考《员工晋升管理规范》。</w:t>
      </w:r>
    </w:p>
    <w:p>
      <w:pPr>
        <w:pStyle w:val="Style17"/>
        <w:numPr>
          <w:ilvl w:val="0"/>
          <w:numId w:val="2"/>
        </w:numPr>
        <w:spacing w:lineRule="auto" w:line="360"/>
        <w:rPr>
          <w:rFonts w:ascii="宋体;SimSun" w:hAnsi="宋体;SimSun" w:cs="宋体;SimSun"/>
          <w:sz w:val="24"/>
          <w:szCs w:val="24"/>
        </w:rPr>
      </w:pPr>
      <w:r>
        <w:rPr>
          <w:rFonts w:ascii="SimHei" w:hAnsi="SimHei" w:cs="宋体;SimSun" w:eastAsia="黑体"/>
          <w:sz w:val="24"/>
          <w:szCs w:val="24"/>
        </w:rPr>
        <w:t>员工内部转岗流程</w:t>
      </w:r>
    </w:p>
    <w:p>
      <w:pPr>
        <w:pStyle w:val="Style17"/>
        <w:numPr>
          <w:ilvl w:val="0"/>
          <w:numId w:val="4"/>
        </w:numPr>
        <w:spacing w:lineRule="auto" w:line="360"/>
        <w:rPr>
          <w:rFonts w:ascii="宋体;SimSun" w:hAnsi="宋体;SimSun" w:cs="宋体;SimSun"/>
          <w:sz w:val="24"/>
          <w:szCs w:val="24"/>
        </w:rPr>
      </w:pPr>
      <w:r>
        <w:rPr>
          <w:rFonts w:ascii="SimHei" w:hAnsi="SimHei" w:cs="宋体;SimSun" w:eastAsia="黑体"/>
          <w:sz w:val="24"/>
          <w:szCs w:val="24"/>
        </w:rPr>
        <w:t>原则及基本要求：</w:t>
      </w:r>
    </w:p>
    <w:p>
      <w:pPr>
        <w:pStyle w:val="Style17"/>
        <w:numPr>
          <w:ilvl w:val="0"/>
          <w:numId w:val="5"/>
        </w:numPr>
        <w:spacing w:lineRule="auto" w:line="360"/>
        <w:rPr>
          <w:rFonts w:ascii="宋体;SimSun" w:hAnsi="宋体;SimSun" w:cs="宋体;SimSun"/>
          <w:sz w:val="24"/>
          <w:szCs w:val="24"/>
        </w:rPr>
      </w:pPr>
      <w:r>
        <w:rPr>
          <w:rFonts w:ascii="SimHei" w:hAnsi="SimHei" w:cs="宋体;SimSun" w:eastAsia="黑体"/>
          <w:sz w:val="24"/>
          <w:szCs w:val="24"/>
        </w:rPr>
        <w:t>原则：</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公平竞争原则：内部招聘须与外部招聘一致，须经过严格的面试、评估及考核流程；</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人岗匹配原则：各部门应以公司的最大利益出发，优化利用现有资源。</w:t>
      </w:r>
    </w:p>
    <w:p>
      <w:pPr>
        <w:pStyle w:val="Style17"/>
        <w:numPr>
          <w:ilvl w:val="0"/>
          <w:numId w:val="5"/>
        </w:numPr>
        <w:spacing w:lineRule="auto" w:line="360"/>
        <w:rPr>
          <w:rFonts w:ascii="宋体;SimSun" w:hAnsi="宋体;SimSun" w:cs="宋体;SimSun"/>
          <w:sz w:val="24"/>
          <w:szCs w:val="24"/>
        </w:rPr>
      </w:pPr>
      <w:r>
        <w:rPr>
          <w:rFonts w:ascii="SimHei" w:hAnsi="SimHei" w:cs="宋体;SimSun" w:eastAsia="黑体"/>
          <w:sz w:val="24"/>
          <w:szCs w:val="24"/>
        </w:rPr>
        <w:t>转岗员工须符合以下条件：</w:t>
      </w:r>
    </w:p>
    <w:p>
      <w:pPr>
        <w:pStyle w:val="Style17"/>
        <w:numPr>
          <w:ilvl w:val="0"/>
          <w:numId w:val="1"/>
        </w:numPr>
        <w:spacing w:lineRule="auto" w:line="360"/>
        <w:rPr>
          <w:rFonts w:ascii="宋体;SimSun" w:hAnsi="宋体;SimSun" w:cs="宋体;SimSun"/>
          <w:sz w:val="24"/>
          <w:szCs w:val="24"/>
        </w:rPr>
      </w:pPr>
      <w:r>
        <w:rPr>
          <w:rFonts w:ascii="SimHei" w:hAnsi="SimHei" w:cs="宋体;SimSun" w:eastAsia="黑体"/>
          <w:sz w:val="24"/>
          <w:szCs w:val="24"/>
        </w:rPr>
        <w:t>在原岗位任职不少于</w:t>
      </w:r>
      <w:r>
        <w:rPr>
          <w:rFonts w:cs="宋体;SimSun" w:ascii="SimHei" w:hAnsi="SimHei" w:eastAsia="黑体"/>
          <w:sz w:val="24"/>
          <w:szCs w:val="24"/>
        </w:rPr>
        <w:t>6</w:t>
      </w:r>
      <w:r>
        <w:rPr>
          <w:rFonts w:ascii="SimHei" w:hAnsi="SimHei" w:cs="宋体;SimSun" w:eastAsia="黑体"/>
          <w:sz w:val="24"/>
          <w:szCs w:val="24"/>
        </w:rPr>
        <w:t>个月，工作表现良好；</w:t>
      </w:r>
    </w:p>
    <w:p>
      <w:pPr>
        <w:pStyle w:val="Style17"/>
        <w:numPr>
          <w:ilvl w:val="0"/>
          <w:numId w:val="1"/>
        </w:numPr>
        <w:spacing w:lineRule="auto" w:line="360"/>
        <w:rPr>
          <w:rFonts w:ascii="宋体;SimSun" w:hAnsi="宋体;SimSun" w:cs="宋体;SimSun"/>
          <w:sz w:val="24"/>
          <w:szCs w:val="24"/>
        </w:rPr>
      </w:pPr>
      <w:r>
        <w:rPr>
          <w:rFonts w:ascii="SimHei" w:hAnsi="SimHei" w:cs="宋体;SimSun" w:eastAsia="黑体"/>
          <w:sz w:val="24"/>
          <w:szCs w:val="24"/>
        </w:rPr>
        <w:t>连续</w:t>
      </w:r>
      <w:r>
        <w:rPr>
          <w:rFonts w:cs="宋体;SimSun" w:ascii="SimHei" w:hAnsi="SimHei" w:eastAsia="黑体"/>
          <w:sz w:val="24"/>
          <w:szCs w:val="24"/>
        </w:rPr>
        <w:t>6</w:t>
      </w:r>
      <w:r>
        <w:rPr>
          <w:rFonts w:ascii="SimHei" w:hAnsi="SimHei" w:cs="宋体;SimSun" w:eastAsia="黑体"/>
          <w:sz w:val="24"/>
          <w:szCs w:val="24"/>
        </w:rPr>
        <w:t>个月的绩效考核成绩不低于</w:t>
      </w:r>
      <w:r>
        <w:rPr>
          <w:rFonts w:cs="宋体;SimSun" w:ascii="SimHei" w:hAnsi="SimHei" w:eastAsia="黑体"/>
          <w:sz w:val="24"/>
          <w:szCs w:val="24"/>
        </w:rPr>
        <w:t>3</w:t>
      </w:r>
      <w:r>
        <w:rPr>
          <w:rFonts w:ascii="SimHei" w:hAnsi="SimHei" w:cs="宋体;SimSun" w:eastAsia="黑体"/>
          <w:sz w:val="24"/>
          <w:szCs w:val="24"/>
        </w:rPr>
        <w:t>分，无其他不良表现；</w:t>
      </w:r>
    </w:p>
    <w:p>
      <w:pPr>
        <w:pStyle w:val="Style17"/>
        <w:numPr>
          <w:ilvl w:val="0"/>
          <w:numId w:val="1"/>
        </w:numPr>
        <w:spacing w:lineRule="auto" w:line="360"/>
        <w:rPr>
          <w:rFonts w:ascii="宋体;SimSun" w:hAnsi="宋体;SimSun" w:cs="宋体;SimSun"/>
          <w:sz w:val="24"/>
          <w:szCs w:val="24"/>
        </w:rPr>
      </w:pPr>
      <w:r>
        <w:rPr>
          <w:rFonts w:ascii="SimHei" w:hAnsi="SimHei" w:cs="宋体;SimSun" w:eastAsia="黑体"/>
          <w:sz w:val="24"/>
          <w:szCs w:val="24"/>
        </w:rPr>
        <w:t>认真遵守公司各项制度，考勤记录良好，担任公司内部导师或内部讲师一年以上的或是优秀员工的，在同等条件下，优先考虑。</w:t>
      </w:r>
    </w:p>
    <w:p>
      <w:pPr>
        <w:pStyle w:val="Style17"/>
        <w:numPr>
          <w:ilvl w:val="0"/>
          <w:numId w:val="4"/>
        </w:numPr>
        <w:spacing w:lineRule="auto" w:line="360"/>
        <w:rPr>
          <w:rFonts w:ascii="宋体;SimSun" w:hAnsi="宋体;SimSun" w:cs="宋体;SimSun"/>
          <w:sz w:val="24"/>
          <w:szCs w:val="24"/>
        </w:rPr>
      </w:pPr>
      <w:r>
        <w:rPr>
          <w:rFonts w:ascii="SimHei" w:hAnsi="SimHei" w:cs="宋体;SimSun" w:eastAsia="黑体"/>
          <w:sz w:val="24"/>
          <w:szCs w:val="24"/>
        </w:rPr>
        <w:t>提出申请：</w:t>
      </w:r>
    </w:p>
    <w:p>
      <w:pPr>
        <w:pStyle w:val="Style17"/>
        <w:numPr>
          <w:ilvl w:val="0"/>
          <w:numId w:val="7"/>
        </w:numPr>
        <w:spacing w:lineRule="auto" w:line="360"/>
        <w:rPr>
          <w:rFonts w:ascii="宋体;SimSun" w:hAnsi="宋体;SimSun" w:cs="宋体;SimSun"/>
          <w:sz w:val="24"/>
          <w:szCs w:val="24"/>
        </w:rPr>
      </w:pPr>
      <w:r>
        <w:rPr>
          <w:rFonts w:ascii="SimHei" w:hAnsi="SimHei" w:cs="宋体;SimSun" w:eastAsia="黑体"/>
          <w:sz w:val="24"/>
          <w:szCs w:val="24"/>
        </w:rPr>
        <w:t>用人部门提出申请：</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当出现岗位空缺时，用人部门认为内部存在符合岗位要求的员工时：</w:t>
      </w:r>
    </w:p>
    <w:p>
      <w:pPr>
        <w:pStyle w:val="Style17"/>
        <w:numPr>
          <w:ilvl w:val="0"/>
          <w:numId w:val="6"/>
        </w:numPr>
        <w:spacing w:lineRule="auto" w:line="360"/>
        <w:rPr>
          <w:rFonts w:ascii="宋体;SimSun" w:hAnsi="宋体;SimSun" w:cs="宋体;SimSun"/>
          <w:sz w:val="24"/>
          <w:szCs w:val="24"/>
        </w:rPr>
      </w:pPr>
      <w:r>
        <w:rPr>
          <w:rFonts w:ascii="SimHei" w:hAnsi="SimHei" w:cs="宋体;SimSun" w:eastAsia="黑体"/>
          <w:sz w:val="24"/>
          <w:szCs w:val="24"/>
        </w:rPr>
        <w:t>首先向人力资源部提出内部招聘意向，人力资源部需综合评估内部招聘的可行性，并给出意见；</w:t>
      </w:r>
    </w:p>
    <w:p>
      <w:pPr>
        <w:pStyle w:val="Style17"/>
        <w:numPr>
          <w:ilvl w:val="0"/>
          <w:numId w:val="6"/>
        </w:numPr>
        <w:spacing w:lineRule="auto" w:line="360"/>
        <w:rPr>
          <w:rFonts w:ascii="宋体;SimSun" w:hAnsi="宋体;SimSun" w:cs="宋体;SimSun"/>
          <w:sz w:val="24"/>
          <w:szCs w:val="24"/>
        </w:rPr>
      </w:pPr>
      <w:r>
        <w:rPr>
          <w:rFonts w:ascii="SimHei" w:hAnsi="SimHei" w:cs="宋体;SimSun" w:eastAsia="黑体"/>
          <w:sz w:val="24"/>
          <w:szCs w:val="24"/>
        </w:rPr>
        <w:t>在与员工本人沟通前，用人部门须与员工现部门经理及分管高管进行沟通，充分了解员工的工作情况及部门意见；</w:t>
      </w:r>
    </w:p>
    <w:p>
      <w:pPr>
        <w:pStyle w:val="Style17"/>
        <w:numPr>
          <w:ilvl w:val="0"/>
          <w:numId w:val="6"/>
        </w:numPr>
        <w:spacing w:lineRule="auto" w:line="360"/>
        <w:rPr>
          <w:rFonts w:ascii="宋体;SimSun" w:hAnsi="宋体;SimSun" w:cs="宋体;SimSun"/>
          <w:sz w:val="24"/>
          <w:szCs w:val="24"/>
        </w:rPr>
      </w:pPr>
      <w:r>
        <w:rPr>
          <w:rFonts w:ascii="SimHei" w:hAnsi="SimHei" w:cs="宋体;SimSun" w:eastAsia="黑体"/>
          <w:sz w:val="24"/>
          <w:szCs w:val="24"/>
        </w:rPr>
        <w:t>用人部门、员工所在部门及人力资源部三方达成初步可行意向后，用人部门方可与候选员工直接沟通；</w:t>
      </w:r>
    </w:p>
    <w:p>
      <w:pPr>
        <w:pStyle w:val="Style17"/>
        <w:numPr>
          <w:ilvl w:val="0"/>
          <w:numId w:val="7"/>
        </w:numPr>
        <w:spacing w:lineRule="auto" w:line="360"/>
        <w:rPr>
          <w:rFonts w:ascii="宋体;SimSun" w:hAnsi="宋体;SimSun" w:cs="宋体;SimSun"/>
          <w:sz w:val="24"/>
          <w:szCs w:val="24"/>
        </w:rPr>
      </w:pPr>
      <w:r>
        <w:rPr>
          <w:rFonts w:ascii="SimHei" w:hAnsi="SimHei" w:cs="宋体;SimSun" w:eastAsia="黑体"/>
          <w:sz w:val="24"/>
          <w:szCs w:val="24"/>
        </w:rPr>
        <w:t>员工提出申请：</w:t>
      </w:r>
    </w:p>
    <w:p>
      <w:pPr>
        <w:pStyle w:val="Style17"/>
        <w:numPr>
          <w:ilvl w:val="0"/>
          <w:numId w:val="3"/>
        </w:numPr>
        <w:spacing w:lineRule="auto" w:line="360"/>
        <w:rPr>
          <w:rFonts w:ascii="宋体;SimSun" w:hAnsi="宋体;SimSun" w:cs="宋体;SimSun"/>
          <w:sz w:val="24"/>
          <w:szCs w:val="24"/>
        </w:rPr>
      </w:pPr>
      <w:r>
        <w:rPr>
          <w:rFonts w:ascii="SimHei" w:hAnsi="SimHei" w:cs="宋体;SimSun" w:eastAsia="黑体"/>
          <w:sz w:val="24"/>
          <w:szCs w:val="24"/>
        </w:rPr>
        <w:t>人力资源部定期公布公司空缺岗位，员工对空缺岗位有转岗意向时，首先应向直接领导、分管高管及人力资源部提出转岗申请；</w:t>
      </w:r>
    </w:p>
    <w:p>
      <w:pPr>
        <w:pStyle w:val="Style17"/>
        <w:numPr>
          <w:ilvl w:val="0"/>
          <w:numId w:val="3"/>
        </w:numPr>
        <w:spacing w:lineRule="auto" w:line="360"/>
        <w:rPr>
          <w:rFonts w:ascii="宋体;SimSun" w:hAnsi="宋体;SimSun" w:cs="宋体;SimSun"/>
          <w:sz w:val="24"/>
          <w:szCs w:val="24"/>
        </w:rPr>
      </w:pPr>
      <w:r>
        <w:rPr>
          <w:rFonts w:ascii="SimHei" w:hAnsi="SimHei" w:cs="宋体;SimSun" w:eastAsia="黑体"/>
          <w:sz w:val="24"/>
          <w:szCs w:val="24"/>
        </w:rPr>
        <w:t>人力资源部及员工现部门应尊重员工的职业发展诉求，充分评估员工转岗后影响，与员工友好协商，及时回复员工转岗申请；</w:t>
      </w:r>
    </w:p>
    <w:p>
      <w:pPr>
        <w:pStyle w:val="Style17"/>
        <w:numPr>
          <w:ilvl w:val="0"/>
          <w:numId w:val="3"/>
        </w:numPr>
        <w:spacing w:lineRule="auto" w:line="360"/>
        <w:rPr>
          <w:rFonts w:ascii="宋体;SimSun" w:hAnsi="宋体;SimSun" w:cs="宋体;SimSun"/>
          <w:sz w:val="24"/>
          <w:szCs w:val="24"/>
        </w:rPr>
      </w:pPr>
      <w:r>
        <w:rPr>
          <w:rFonts w:ascii="SimHei" w:hAnsi="SimHei" w:cs="宋体;SimSun" w:eastAsia="黑体"/>
          <w:sz w:val="24"/>
          <w:szCs w:val="24"/>
        </w:rPr>
        <w:t>员工在取得现部门及人力资源部的同意后，方可向拟转岗部门提出申请；</w:t>
      </w:r>
      <w:r>
        <w:rPr>
          <w:rFonts w:ascii="SimHei" w:hAnsi="SimHei" w:cs="宋体;SimSun" w:eastAsia="黑体"/>
          <w:sz w:val="24"/>
          <w:szCs w:val="24"/>
        </w:rPr>
        <w:t xml:space="preserve"> </w:t>
      </w:r>
    </w:p>
    <w:p>
      <w:pPr>
        <w:pStyle w:val="Normal"/>
        <w:spacing w:lineRule="auto" w:line="360"/>
        <w:ind w:start="420" w:hanging="0"/>
        <w:rPr>
          <w:rFonts w:ascii="宋体;SimSun" w:hAnsi="宋体;SimSun" w:cs="宋体;SimSun"/>
          <w:sz w:val="24"/>
          <w:szCs w:val="24"/>
        </w:rPr>
      </w:pPr>
      <w:r>
        <w:rPr>
          <w:rFonts w:cs="宋体;SimSun" w:ascii="SimHei" w:hAnsi="SimHei" w:eastAsia="黑体"/>
          <w:sz w:val="24"/>
          <w:szCs w:val="24"/>
        </w:rPr>
      </w:r>
    </w:p>
    <w:p>
      <w:pPr>
        <w:pStyle w:val="Style17"/>
        <w:numPr>
          <w:ilvl w:val="0"/>
          <w:numId w:val="4"/>
        </w:numPr>
        <w:spacing w:lineRule="auto" w:line="360"/>
        <w:rPr>
          <w:rFonts w:ascii="宋体;SimSun" w:hAnsi="宋体;SimSun" w:cs="宋体;SimSun"/>
          <w:sz w:val="24"/>
          <w:szCs w:val="24"/>
        </w:rPr>
      </w:pPr>
      <w:r>
        <w:rPr>
          <w:rFonts w:ascii="SimHei" w:hAnsi="SimHei" w:cs="宋体;SimSun" w:eastAsia="黑体"/>
          <w:sz w:val="24"/>
          <w:szCs w:val="24"/>
        </w:rPr>
        <w:t>面试及评估</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用人部门及人力资源部须对候选员工进行与外聘相同标准的综合评估，并详细填写《面试评估表》，提出员工转岗意见；</w:t>
      </w:r>
    </w:p>
    <w:p>
      <w:pPr>
        <w:pStyle w:val="Style17"/>
        <w:numPr>
          <w:ilvl w:val="0"/>
          <w:numId w:val="4"/>
        </w:numPr>
        <w:spacing w:lineRule="auto" w:line="360"/>
        <w:rPr>
          <w:rFonts w:ascii="宋体;SimSun" w:hAnsi="宋体;SimSun" w:cs="宋体;SimSun"/>
          <w:sz w:val="24"/>
          <w:szCs w:val="24"/>
        </w:rPr>
      </w:pPr>
      <w:r>
        <w:rPr>
          <w:rFonts w:ascii="SimHei" w:hAnsi="SimHei" w:cs="宋体;SimSun" w:eastAsia="黑体"/>
          <w:sz w:val="24"/>
          <w:szCs w:val="24"/>
        </w:rPr>
        <w:t>经用人部门及人力资源部的共同评估后，符合岗位要求的，员工及相关部门填写《人事异动申请表》，</w:t>
      </w:r>
      <w:r>
        <w:rPr>
          <w:rFonts w:ascii="SimHei" w:hAnsi="SimHei" w:cs="宋体;SimSun" w:eastAsia="黑体"/>
          <w:color w:val="FF0000"/>
          <w:sz w:val="24"/>
          <w:szCs w:val="24"/>
        </w:rPr>
        <w:t>并签订《转岗协议书》，</w:t>
      </w:r>
      <w:r>
        <w:rPr>
          <w:rFonts w:ascii="SimHei" w:hAnsi="SimHei" w:cs="宋体;SimSun" w:eastAsia="黑体"/>
          <w:sz w:val="24"/>
          <w:szCs w:val="24"/>
        </w:rPr>
        <w:t>由人力资源部提交至总经理审批。</w:t>
      </w:r>
    </w:p>
    <w:p>
      <w:pPr>
        <w:pStyle w:val="Style17"/>
        <w:numPr>
          <w:ilvl w:val="0"/>
          <w:numId w:val="2"/>
        </w:numPr>
        <w:spacing w:lineRule="auto" w:line="360"/>
        <w:rPr>
          <w:rFonts w:ascii="宋体;SimSun" w:hAnsi="宋体;SimSun" w:cs="宋体;SimSun"/>
          <w:sz w:val="24"/>
          <w:szCs w:val="24"/>
        </w:rPr>
      </w:pPr>
      <w:r>
        <w:rPr>
          <w:rFonts w:ascii="SimHei" w:hAnsi="SimHei" w:cs="宋体;SimSun" w:eastAsia="黑体"/>
          <w:sz w:val="24"/>
          <w:szCs w:val="24"/>
        </w:rPr>
        <w:t>公示及工作交接</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经总经理审批通过后，由人力资源部向全体员工公式，接受全体员工的监督与投诉。</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公式无异议后，员工在不影响部门工作的前提下做好工作的平稳交接，同时应尽可能了解新岗位工作情况，双方部门负责人应配合员工的工作尽快交接及新岗位的上岗培训。</w:t>
      </w:r>
    </w:p>
    <w:p>
      <w:pPr>
        <w:pStyle w:val="Style17"/>
        <w:numPr>
          <w:ilvl w:val="0"/>
          <w:numId w:val="2"/>
        </w:numPr>
        <w:spacing w:lineRule="auto" w:line="360"/>
        <w:rPr>
          <w:rFonts w:ascii="宋体;SimSun" w:hAnsi="宋体;SimSun" w:cs="宋体;SimSun"/>
          <w:sz w:val="24"/>
          <w:szCs w:val="24"/>
        </w:rPr>
      </w:pPr>
      <w:r>
        <w:rPr>
          <w:rFonts w:ascii="SimHei" w:hAnsi="SimHei" w:cs="宋体;SimSun" w:eastAsia="黑体"/>
          <w:sz w:val="24"/>
          <w:szCs w:val="24"/>
        </w:rPr>
        <w:t>考核期</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普通员工就任新岗位后考核期最少不低于</w:t>
      </w:r>
      <w:r>
        <w:rPr>
          <w:rFonts w:cs="宋体;SimSun" w:ascii="SimHei" w:hAnsi="SimHei" w:eastAsia="黑体"/>
          <w:sz w:val="24"/>
          <w:szCs w:val="24"/>
        </w:rPr>
        <w:t>3</w:t>
      </w:r>
      <w:r>
        <w:rPr>
          <w:rFonts w:ascii="SimHei" w:hAnsi="SimHei" w:cs="宋体;SimSun" w:eastAsia="黑体"/>
          <w:sz w:val="24"/>
          <w:szCs w:val="24"/>
        </w:rPr>
        <w:t>个月，最长不高于</w:t>
      </w:r>
      <w:r>
        <w:rPr>
          <w:rFonts w:cs="宋体;SimSun" w:ascii="SimHei" w:hAnsi="SimHei" w:eastAsia="黑体"/>
          <w:sz w:val="24"/>
          <w:szCs w:val="24"/>
        </w:rPr>
        <w:t>6</w:t>
      </w:r>
      <w:r>
        <w:rPr>
          <w:rFonts w:ascii="SimHei" w:hAnsi="SimHei" w:cs="宋体;SimSun" w:eastAsia="黑体"/>
          <w:sz w:val="24"/>
          <w:szCs w:val="24"/>
        </w:rPr>
        <w:t>个月。经理级最少不低于</w:t>
      </w:r>
      <w:r>
        <w:rPr>
          <w:rFonts w:cs="宋体;SimSun" w:ascii="SimHei" w:hAnsi="SimHei" w:eastAsia="黑体"/>
          <w:sz w:val="24"/>
          <w:szCs w:val="24"/>
        </w:rPr>
        <w:t>6</w:t>
      </w:r>
      <w:r>
        <w:rPr>
          <w:rFonts w:ascii="SimHei" w:hAnsi="SimHei" w:cs="宋体;SimSun" w:eastAsia="黑体"/>
          <w:sz w:val="24"/>
          <w:szCs w:val="24"/>
        </w:rPr>
        <w:t>个月，最长不高于</w:t>
      </w:r>
      <w:r>
        <w:rPr>
          <w:rFonts w:cs="宋体;SimSun" w:ascii="SimHei" w:hAnsi="SimHei" w:eastAsia="黑体"/>
          <w:sz w:val="24"/>
          <w:szCs w:val="24"/>
        </w:rPr>
        <w:t>12</w:t>
      </w:r>
      <w:r>
        <w:rPr>
          <w:rFonts w:ascii="SimHei" w:hAnsi="SimHei" w:cs="宋体;SimSun" w:eastAsia="黑体"/>
          <w:sz w:val="24"/>
          <w:szCs w:val="24"/>
        </w:rPr>
        <w:t>个月。</w:t>
      </w:r>
    </w:p>
    <w:p>
      <w:pPr>
        <w:pStyle w:val="Style17"/>
        <w:spacing w:lineRule="auto" w:line="360"/>
        <w:ind w:start="420" w:hanging="0"/>
        <w:rPr>
          <w:rFonts w:ascii="宋体;SimSun" w:hAnsi="宋体;SimSun" w:cs="宋体;SimSun"/>
          <w:color w:val="FF0000"/>
          <w:sz w:val="24"/>
          <w:szCs w:val="24"/>
        </w:rPr>
      </w:pPr>
      <w:r>
        <w:rPr>
          <w:rFonts w:ascii="SimHei" w:hAnsi="SimHei" w:cs="宋体;SimSun" w:eastAsia="黑体"/>
          <w:sz w:val="24"/>
          <w:szCs w:val="24"/>
        </w:rPr>
        <w:t>考核期满前两周，由人力资源部通知，与用人部门共同进行员工绩效考核评定</w:t>
      </w:r>
      <w:r>
        <w:rPr>
          <w:rFonts w:ascii="SimHei" w:hAnsi="SimHei" w:cs="宋体;SimSun" w:eastAsia="黑体"/>
          <w:color w:val="FF0000"/>
          <w:sz w:val="24"/>
          <w:szCs w:val="24"/>
        </w:rPr>
        <w:t>，并出具书面评估意见，由面试评估人员及员工双方签字确认。考核不合格者，按照《转岗协议书》中约定，按以下方案报总经理审批：</w:t>
      </w:r>
    </w:p>
    <w:p>
      <w:pPr>
        <w:pStyle w:val="Style17"/>
        <w:spacing w:lineRule="auto" w:line="360"/>
        <w:ind w:start="420" w:hanging="0"/>
        <w:rPr>
          <w:rFonts w:ascii="宋体;SimSun" w:hAnsi="宋体;SimSun" w:cs="宋体;SimSun"/>
          <w:color w:val="FF0000"/>
          <w:sz w:val="24"/>
          <w:szCs w:val="24"/>
        </w:rPr>
      </w:pPr>
      <w:r>
        <w:rPr>
          <w:rFonts w:cs="宋体;SimSun" w:ascii="SimHei" w:hAnsi="SimHei" w:eastAsia="黑体"/>
          <w:color w:val="FF0000"/>
          <w:sz w:val="24"/>
          <w:szCs w:val="24"/>
        </w:rPr>
        <w:t>1</w:t>
      </w:r>
      <w:r>
        <w:rPr>
          <w:rFonts w:ascii="SimHei" w:hAnsi="SimHei" w:cs="宋体;SimSun" w:eastAsia="黑体"/>
          <w:color w:val="FF0000"/>
          <w:sz w:val="24"/>
          <w:szCs w:val="24"/>
        </w:rPr>
        <w:t>、公司存在其他合适的空缺岗位，员工可申请转岗，再次按此办法执行，并签订《转岗协议书》；</w:t>
      </w:r>
    </w:p>
    <w:p>
      <w:pPr>
        <w:pStyle w:val="Style17"/>
        <w:spacing w:lineRule="auto" w:line="360"/>
        <w:ind w:start="420" w:hanging="0"/>
        <w:rPr>
          <w:rFonts w:ascii="宋体;SimSun" w:hAnsi="宋体;SimSun" w:cs="宋体;SimSun"/>
          <w:sz w:val="24"/>
          <w:szCs w:val="24"/>
        </w:rPr>
      </w:pPr>
      <w:r>
        <w:rPr>
          <w:rFonts w:cs="宋体;SimSun" w:ascii="SimHei" w:hAnsi="SimHei" w:eastAsia="黑体"/>
          <w:color w:val="FF0000"/>
          <w:sz w:val="24"/>
          <w:szCs w:val="24"/>
        </w:rPr>
        <w:t>2</w:t>
      </w:r>
      <w:r>
        <w:rPr>
          <w:rFonts w:ascii="SimHei" w:hAnsi="SimHei" w:cs="宋体;SimSun" w:eastAsia="黑体"/>
          <w:color w:val="FF0000"/>
          <w:sz w:val="24"/>
          <w:szCs w:val="24"/>
        </w:rPr>
        <w:t>、公司无合适的空缺岗位，双方解除劳动关系，并按法律规定承担相应经济赔偿责任。</w:t>
      </w:r>
    </w:p>
    <w:p>
      <w:pPr>
        <w:pStyle w:val="Style17"/>
        <w:numPr>
          <w:ilvl w:val="0"/>
          <w:numId w:val="2"/>
        </w:numPr>
        <w:spacing w:lineRule="auto" w:line="360"/>
        <w:rPr>
          <w:rFonts w:ascii="宋体;SimSun" w:hAnsi="宋体;SimSun" w:cs="宋体;SimSun"/>
          <w:sz w:val="24"/>
          <w:szCs w:val="24"/>
        </w:rPr>
      </w:pPr>
      <w:r>
        <w:rPr>
          <w:rFonts w:ascii="SimHei" w:hAnsi="SimHei" w:cs="宋体;SimSun" w:eastAsia="黑体"/>
          <w:sz w:val="24"/>
          <w:szCs w:val="24"/>
        </w:rPr>
        <w:t>附件</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附件一：《面试评估表》</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附件二：《人事异动申请表》</w:t>
      </w:r>
    </w:p>
    <w:p>
      <w:pPr>
        <w:pStyle w:val="Style17"/>
        <w:spacing w:lineRule="auto" w:line="360"/>
        <w:ind w:start="420" w:hanging="0"/>
        <w:rPr>
          <w:rFonts w:ascii="宋体;SimSun" w:hAnsi="宋体;SimSun" w:cs="宋体;SimSun"/>
          <w:sz w:val="24"/>
          <w:szCs w:val="24"/>
        </w:rPr>
      </w:pPr>
      <w:r>
        <w:rPr>
          <w:rFonts w:ascii="SimHei" w:hAnsi="SimHei" w:cs="宋体;SimSun" w:eastAsia="黑体"/>
          <w:sz w:val="24"/>
          <w:szCs w:val="24"/>
        </w:rPr>
        <w:t>附件三：《考核意见表》</w:t>
      </w:r>
    </w:p>
    <w:p>
      <w:pPr>
        <w:pStyle w:val="Style17"/>
        <w:spacing w:lineRule="auto" w:line="360"/>
        <w:ind w:start="420" w:hanging="0"/>
        <w:rPr>
          <w:rFonts w:ascii="宋体;SimSun" w:hAnsi="宋体;SimSun" w:cs="宋体;SimSun"/>
          <w:color w:val="FF0000"/>
          <w:sz w:val="24"/>
          <w:szCs w:val="24"/>
        </w:rPr>
      </w:pPr>
      <w:r>
        <w:rPr>
          <w:rFonts w:ascii="SimHei" w:hAnsi="SimHei" w:cs="宋体;SimSun" w:eastAsia="黑体"/>
          <w:color w:val="FF0000"/>
          <w:sz w:val="24"/>
          <w:szCs w:val="24"/>
        </w:rPr>
        <w:t>附件四：《转岗协议书》</w:t>
      </w:r>
    </w:p>
    <w:sectPr>
      <w:footerReference w:type="default" r:id="rId2"/>
      <w:type w:val="nextPage"/>
      <w:pgSz w:w="11906" w:h="16838"/>
      <w:pgMar w:left="1134" w:right="1134" w:header="0" w:top="471"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SimSun" w:hAnsi="宋体;SimSun" w:cs="宋体;SimSun"/>
        <w:sz w:val="18"/>
      </w:rPr>
    </w:pPr>
    <w:r>
      <w:rPr>
        <w:rFonts w:ascii="宋体;SimSun" w:hAnsi="宋体;SimSun" w:cs="宋体;SimSun"/>
        <w:sz w:val="18"/>
      </w:rPr>
      <w:t>文档</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840" w:hanging="420"/>
      </w:pPr>
      <w:rPr>
        <w:sz w:val="24"/>
        <w:szCs w:val="24"/>
        <w:rFonts w:ascii="宋体;SimSun" w:hAnsi="宋体;SimSun" w:cs="宋体;SimSun"/>
      </w:rPr>
    </w:lvl>
  </w:abstractNum>
  <w:abstractNum w:abstractNumId="2">
    <w:lvl w:ilvl="0">
      <w:start w:val="1"/>
      <w:numFmt w:val="chineseCountingThousand"/>
      <w:lvlText w:val="%1、"/>
      <w:lvlJc w:val="start"/>
      <w:pPr>
        <w:tabs>
          <w:tab w:val="num" w:pos="0"/>
        </w:tabs>
        <w:ind w:start="420" w:hanging="420"/>
      </w:pPr>
      <w:rPr>
        <w:sz w:val="24"/>
        <w:szCs w:val="24"/>
        <w:rFonts w:ascii="宋体;SimSun" w:hAnsi="宋体;SimSun" w:cs="宋体;SimSun"/>
      </w:rPr>
    </w:lvl>
  </w:abstractNum>
  <w:abstractNum w:abstractNumId="3">
    <w:lvl w:ilvl="0">
      <w:start w:val="1"/>
      <w:numFmt w:val="lowerLetter"/>
      <w:lvlText w:val="%1)"/>
      <w:lvlJc w:val="start"/>
      <w:pPr>
        <w:tabs>
          <w:tab w:val="num" w:pos="0"/>
        </w:tabs>
        <w:ind w:start="840" w:hanging="420"/>
      </w:pPr>
      <w:rPr>
        <w:sz w:val="24"/>
        <w:szCs w:val="24"/>
        <w:rFonts w:ascii="宋体;SimSun" w:hAnsi="宋体;SimSun" w:cs="宋体;SimSun"/>
      </w:rPr>
    </w:lvl>
  </w:abstractNum>
  <w:abstractNum w:abstractNumId="4">
    <w:lvl w:ilvl="0">
      <w:start w:val="1"/>
      <w:numFmt w:val="decimal"/>
      <w:lvlText w:val="%1."/>
      <w:lvlJc w:val="start"/>
      <w:pPr>
        <w:tabs>
          <w:tab w:val="num" w:pos="0"/>
        </w:tabs>
        <w:ind w:start="420" w:hanging="420"/>
      </w:pPr>
      <w:rPr>
        <w:sz w:val="24"/>
        <w:szCs w:val="24"/>
        <w:rFonts w:ascii="宋体;SimSun" w:hAnsi="宋体;SimSun" w:cs="宋体;SimSun"/>
      </w:rPr>
    </w:lvl>
  </w:abstractNum>
  <w:abstractNum w:abstractNumId="5">
    <w:lvl w:ilvl="0">
      <w:start w:val="1"/>
      <w:numFmt w:val="decimal"/>
      <w:lvlText w:val="%1)"/>
      <w:lvlJc w:val="start"/>
      <w:pPr>
        <w:tabs>
          <w:tab w:val="num" w:pos="0"/>
        </w:tabs>
        <w:ind w:start="840" w:hanging="420"/>
      </w:pPr>
      <w:rPr/>
    </w:lvl>
  </w:abstractNum>
  <w:abstractNum w:abstractNumId="6">
    <w:lvl w:ilvl="0">
      <w:start w:val="1"/>
      <w:numFmt w:val="lowerLetter"/>
      <w:lvlText w:val="%1)"/>
      <w:lvlJc w:val="start"/>
      <w:pPr>
        <w:tabs>
          <w:tab w:val="num" w:pos="0"/>
        </w:tabs>
        <w:ind w:start="840" w:hanging="420"/>
      </w:pPr>
      <w:rPr>
        <w:sz w:val="24"/>
        <w:szCs w:val="24"/>
        <w:rFonts w:ascii="宋体;SimSun" w:hAnsi="宋体;SimSun" w:cs="宋体;SimSun"/>
      </w:rPr>
    </w:lvl>
  </w:abstractNum>
  <w:abstractNum w:abstractNumId="7">
    <w:lvl w:ilvl="0">
      <w:start w:val="1"/>
      <w:numFmt w:val="decimal"/>
      <w:lvlText w:val="%1)"/>
      <w:lvlJc w:val="start"/>
      <w:pPr>
        <w:tabs>
          <w:tab w:val="num" w:pos="0"/>
        </w:tabs>
        <w:ind w:start="420" w:hanging="42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Calibri"/>
      <w:color w:val="auto"/>
      <w:kern w:val="2"/>
      <w:sz w:val="21"/>
      <w:szCs w:val="21"/>
      <w:lang w:val="en-US" w:eastAsia="zh-CN" w:bidi="ar-SA"/>
    </w:rPr>
  </w:style>
  <w:style w:type="character" w:styleId="WW8Num1z0">
    <w:name w:val="WW8Num1z0"/>
    <w:qFormat/>
    <w:rPr>
      <w:rFonts w:ascii="宋体;SimSun" w:hAnsi="宋体;SimSun" w:cs="宋体;SimSun"/>
      <w:sz w:val="24"/>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cs="宋体;SimSun"/>
      <w:sz w:val="24"/>
      <w:szCs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宋体;SimSun" w:hAnsi="宋体;SimSun" w:cs="宋体;SimSun"/>
      <w:sz w:val="24"/>
      <w:szCs w:val="24"/>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宋体;SimSun" w:hAnsi="宋体;SimSun" w:cs="宋体;SimSun"/>
      <w:sz w:val="24"/>
      <w:szCs w:val="2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宋体;SimSun" w:hAnsi="宋体;SimSun" w:cs="宋体;SimSun"/>
      <w:sz w:val="24"/>
      <w:szCs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Style14">
    <w:name w:val="默认段落字体"/>
    <w:qFormat/>
    <w:rPr/>
  </w:style>
  <w:style w:type="character" w:styleId="Style15">
    <w:name w:val="页眉 字符"/>
    <w:qFormat/>
    <w:rPr>
      <w:rFonts w:cs="Calibri"/>
      <w:sz w:val="18"/>
      <w:szCs w:val="18"/>
    </w:rPr>
  </w:style>
  <w:style w:type="character" w:styleId="Style16">
    <w:name w:val="页脚 字符"/>
    <w:qFormat/>
    <w:rPr>
      <w:rFonts w:cs="Calibri"/>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7">
    <w:name w:val="列表段落"/>
    <w:basedOn w:val="Normal"/>
    <w:qFormat/>
    <w:pPr>
      <w:ind w:firstLine="42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2015-11-11T15:44:00Z</dcterms:created>
  <dc:creator>User</dc:creator>
  <dc:description/>
  <cp:keywords> </cp:keywords>
  <dc:language>en-US</dc:language>
  <cp:lastModifiedBy>Administrator</cp:lastModifiedBy>
  <dcterms:modified xsi:type="dcterms:W3CDTF">2021-11-02T17:14:00Z</dcterms:modified>
  <cp:revision>5</cp:revision>
  <dc:subject/>
  <dc:title>深圳市穗彩科技开发有限公司</dc:title>
</cp:coreProperties>
</file>