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rFonts w:ascii="方正小标宋简体;微软雅黑" w:hAnsi="方正小标宋简体;微软雅黑" w:eastAsia="方正小标宋简体;微软雅黑" w:cs="方正小标宋简体;微软雅黑"/>
        </w:rPr>
      </w:pPr>
      <w:r>
        <w:rPr>
          <w:rFonts w:ascii="SimHei" w:hAnsi="SimHei" w:cs="方正小标宋简体;微软雅黑" w:eastAsia="黑体"/>
          <w:sz w:val="36"/>
        </w:rPr>
        <w:t>员工转岗管理制度</w:t>
      </w:r>
    </w:p>
    <w:p>
      <w:pPr>
        <w:pStyle w:val="Normal"/>
        <w:rPr>
          <w:rFonts w:ascii="方正小标宋简体;微软雅黑" w:hAnsi="方正小标宋简体;微软雅黑" w:eastAsia="仿宋_GB2312;微软雅黑" w:cs="方正小标宋简体;微软雅黑"/>
          <w:sz w:val="24"/>
        </w:rPr>
      </w:pPr>
      <w:r>
        <w:rPr>
          <w:rFonts w:eastAsia="黑体" w:cs="方正小标宋简体;微软雅黑" w:ascii="SimHei" w:hAnsi="SimHei"/>
          <w:sz w:val="24"/>
        </w:rPr>
      </w:r>
    </w:p>
    <w:p>
      <w:pPr>
        <w:pStyle w:val="Style15"/>
        <w:numPr>
          <w:ilvl w:val="0"/>
          <w:numId w:val="2"/>
        </w:numPr>
        <w:spacing w:lineRule="auto" w:line="360"/>
        <w:jc w:val="center"/>
        <w:rPr>
          <w:rFonts w:ascii="仿宋_GB2312;微软雅黑" w:hAnsi="仿宋_GB2312;微软雅黑" w:eastAsia="仿宋_GB2312;微软雅黑"/>
          <w:b/>
          <w:b/>
        </w:rPr>
      </w:pPr>
      <w:r>
        <w:rPr>
          <w:rFonts w:ascii="SimHei" w:hAnsi="SimHei" w:eastAsia="黑体"/>
          <w:b/>
        </w:rPr>
        <w:t>总则</w:t>
      </w:r>
    </w:p>
    <w:p>
      <w:pPr>
        <w:pStyle w:val="Style15"/>
        <w:spacing w:lineRule="auto" w:line="360"/>
        <w:jc w:val="center"/>
        <w:rPr>
          <w:rFonts w:ascii="仿宋_GB2312;微软雅黑" w:hAnsi="仿宋_GB2312;微软雅黑" w:eastAsia="仿宋_GB2312;微软雅黑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sz w:val="24"/>
        </w:rPr>
      </w:pPr>
      <w:r>
        <w:rPr>
          <w:rFonts w:ascii="SimHei" w:hAnsi="SimHei" w:eastAsia="黑体"/>
          <w:sz w:val="24"/>
        </w:rPr>
        <w:t>第一条  为了加强公司用人制度的灵活性，最大限度地合理利用人力资源，并且</w:t>
      </w:r>
      <w:r>
        <w:rPr>
          <w:rFonts w:ascii="SimHei" w:hAnsi="SimHei" w:eastAsia="黑体"/>
          <w:kern w:val="0"/>
          <w:sz w:val="24"/>
        </w:rPr>
        <w:t>给员工搭建一个可持续发展的平台，使员工获得更广泛的知识与技能、开发员工多种胜任能力，员工在工作期间，根据公司工作需要或员工个人申请，可以对员工岗位进行调整。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0" w:leader="none"/>
          <w:tab w:val="left" w:pos="1440" w:leader="none"/>
        </w:tabs>
        <w:snapToGrid w:val="false"/>
        <w:spacing w:lineRule="auto" w:line="36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本制度岗位级别标准参照</w:t>
      </w:r>
      <w:r>
        <w:rPr>
          <w:rFonts w:ascii="SimHei" w:hAnsi="SimHei" w:cs="ˎ̥;微软雅黑" w:eastAsia="黑体"/>
          <w:color w:val="333333"/>
          <w:kern w:val="0"/>
          <w:sz w:val="24"/>
        </w:rPr>
        <w:t>《</w:t>
      </w:r>
      <w:r>
        <w:rPr>
          <w:rFonts w:eastAsia="黑体" w:cs="ˎ̥;微软雅黑" w:ascii="SimHei" w:hAnsi="SimHei"/>
          <w:color w:val="333333"/>
          <w:kern w:val="0"/>
          <w:sz w:val="24"/>
        </w:rPr>
        <w:t>XXXXXXXXX</w:t>
      </w:r>
      <w:r>
        <w:rPr>
          <w:rFonts w:ascii="SimHei" w:hAnsi="SimHei" w:cs="ˎ̥;微软雅黑" w:eastAsia="黑体"/>
          <w:color w:val="333333"/>
          <w:kern w:val="0"/>
          <w:sz w:val="24"/>
        </w:rPr>
        <w:t>公司定岗标准》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0" w:leader="none"/>
          <w:tab w:val="left" w:pos="1440" w:leader="none"/>
        </w:tabs>
        <w:snapToGrid w:val="false"/>
        <w:spacing w:lineRule="auto" w:line="36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本制度适用于除公司总经办外所有员工的岗位调整。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ind w:start="480" w:hanging="0"/>
        <w:jc w:val="center"/>
        <w:rPr>
          <w:rFonts w:ascii="仿宋_GB2312;微软雅黑" w:hAnsi="仿宋_GB2312;微软雅黑" w:eastAsia="仿宋_GB2312;微软雅黑"/>
          <w:b/>
          <w:b/>
          <w:color w:val="000000"/>
          <w:sz w:val="24"/>
        </w:rPr>
      </w:pPr>
      <w:r>
        <w:rPr>
          <w:rFonts w:eastAsia="黑体" w:ascii="SimHei" w:hAnsi="SimHei"/>
          <w:b/>
          <w:color w:val="000000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0" w:leader="none"/>
          <w:tab w:val="left" w:pos="1374" w:leader="none"/>
        </w:tabs>
        <w:snapToGrid w:val="false"/>
        <w:spacing w:lineRule="auto" w:line="360"/>
        <w:jc w:val="center"/>
        <w:rPr>
          <w:rFonts w:ascii="仿宋_GB2312;微软雅黑" w:hAnsi="仿宋_GB2312;微软雅黑" w:eastAsia="仿宋_GB2312;微软雅黑"/>
          <w:b/>
          <w:b/>
          <w:color w:val="000000"/>
          <w:sz w:val="24"/>
        </w:rPr>
      </w:pPr>
      <w:r>
        <w:rPr>
          <w:rFonts w:ascii="SimHei" w:hAnsi="SimHei" w:eastAsia="黑体"/>
          <w:b/>
          <w:color w:val="000000"/>
          <w:sz w:val="24"/>
        </w:rPr>
        <w:t>转岗分类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ind w:start="414" w:hanging="0"/>
        <w:rPr>
          <w:rFonts w:ascii="仿宋_GB2312;微软雅黑" w:hAnsi="仿宋_GB2312;微软雅黑" w:eastAsia="仿宋_GB2312;微软雅黑"/>
          <w:b/>
          <w:b/>
          <w:color w:val="000000"/>
          <w:sz w:val="24"/>
        </w:rPr>
      </w:pPr>
      <w:r>
        <w:rPr>
          <w:rFonts w:eastAsia="黑体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第四条  根据公司生产经营需要或员工申请，公司可以对员工的工作岗位进行调整。</w:t>
      </w:r>
    </w:p>
    <w:p>
      <w:pPr>
        <w:pStyle w:val="Normal"/>
        <w:widowControl/>
        <w:spacing w:lineRule="auto" w:line="360"/>
        <w:ind w:firstLine="480"/>
        <w:jc w:val="start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cs="ˎ̥;微软雅黑" w:eastAsia="黑体"/>
          <w:color w:val="333333"/>
          <w:kern w:val="0"/>
          <w:sz w:val="24"/>
        </w:rPr>
        <w:t>第五条  岗位调整分为从高岗级转到低岗级、同岗级转岗、从低岗级转到高岗级三种情况。</w:t>
      </w:r>
    </w:p>
    <w:p>
      <w:pPr>
        <w:pStyle w:val="Normal"/>
        <w:widowControl/>
        <w:spacing w:lineRule="auto" w:line="360"/>
        <w:ind w:firstLine="480"/>
        <w:jc w:val="start"/>
        <w:rPr/>
      </w:pPr>
      <w:r>
        <w:rPr>
          <w:rFonts w:eastAsia="黑体" w:cs="ˎ̥;微软雅黑" w:ascii="SimHei" w:hAnsi="SimHei"/>
          <w:color w:val="333333"/>
          <w:kern w:val="0"/>
          <w:sz w:val="24"/>
        </w:rPr>
        <w:t>1</w:t>
      </w:r>
      <w:r>
        <w:rPr>
          <w:rFonts w:ascii="SimHei" w:hAnsi="SimHei" w:cs="ˎ̥;微软雅黑" w:eastAsia="黑体"/>
          <w:color w:val="333333"/>
          <w:kern w:val="0"/>
          <w:sz w:val="24"/>
        </w:rPr>
        <w:t>．从高岗级转到低岗级。</w:t>
      </w:r>
      <w:r>
        <w:rPr>
          <w:rFonts w:ascii="SimHei" w:hAnsi="SimHei" w:eastAsia="黑体"/>
          <w:color w:val="000000"/>
          <w:sz w:val="24"/>
        </w:rPr>
        <w:t>在劳动合同期限内，存在下列情形之一的，公司有权对员工的岗位进行从高岗级到低岗级的调整：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（</w:t>
      </w:r>
      <w:r>
        <w:rPr>
          <w:rFonts w:eastAsia="黑体" w:ascii="SimHei" w:hAnsi="SimHei"/>
          <w:color w:val="000000"/>
          <w:sz w:val="24"/>
        </w:rPr>
        <w:t>1</w:t>
      </w:r>
      <w:r>
        <w:rPr>
          <w:rFonts w:ascii="SimHei" w:hAnsi="SimHei" w:eastAsia="黑体"/>
          <w:color w:val="000000"/>
          <w:sz w:val="24"/>
        </w:rPr>
        <w:t>）员工绩效考核表明不能达到岗位要求的；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（</w:t>
      </w:r>
      <w:r>
        <w:rPr>
          <w:rFonts w:eastAsia="黑体" w:ascii="SimHei" w:hAnsi="SimHei"/>
          <w:color w:val="000000"/>
          <w:sz w:val="24"/>
        </w:rPr>
        <w:t>2</w:t>
      </w:r>
      <w:r>
        <w:rPr>
          <w:rFonts w:ascii="SimHei" w:hAnsi="SimHei" w:eastAsia="黑体"/>
          <w:color w:val="000000"/>
          <w:sz w:val="24"/>
        </w:rPr>
        <w:t>）员工违反国家法律法规或公司规章制度的；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（</w:t>
      </w:r>
      <w:r>
        <w:rPr>
          <w:rFonts w:eastAsia="黑体" w:ascii="SimHei" w:hAnsi="SimHei"/>
          <w:color w:val="000000"/>
          <w:sz w:val="24"/>
        </w:rPr>
        <w:t>3</w:t>
      </w:r>
      <w:r>
        <w:rPr>
          <w:rFonts w:ascii="SimHei" w:hAnsi="SimHei" w:eastAsia="黑体"/>
          <w:color w:val="000000"/>
          <w:sz w:val="24"/>
        </w:rPr>
        <w:t>）由于员工休长假期而导致其岗位已经被其他人取代的。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eastAsia="黑体" w:ascii="SimHei" w:hAnsi="SimHei"/>
          <w:color w:val="000000"/>
          <w:sz w:val="24"/>
        </w:rPr>
        <w:t>2</w:t>
      </w:r>
      <w:r>
        <w:rPr>
          <w:rFonts w:ascii="SimHei" w:hAnsi="SimHei" w:eastAsia="黑体"/>
          <w:color w:val="000000"/>
          <w:sz w:val="24"/>
        </w:rPr>
        <w:t>．同岗级转岗。指岗位级别不变，员工从事新专业或新部门工作进行的调整。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/>
      </w:pPr>
      <w:r>
        <w:rPr>
          <w:rFonts w:eastAsia="黑体" w:ascii="SimHei" w:hAnsi="SimHei"/>
          <w:color w:val="000000"/>
          <w:sz w:val="24"/>
        </w:rPr>
        <w:t>3</w:t>
      </w:r>
      <w:r>
        <w:rPr>
          <w:rFonts w:ascii="SimHei" w:hAnsi="SimHei" w:eastAsia="黑体"/>
          <w:color w:val="000000"/>
          <w:sz w:val="24"/>
        </w:rPr>
        <w:t>．</w:t>
      </w:r>
      <w:r>
        <w:rPr>
          <w:rFonts w:ascii="SimHei" w:hAnsi="SimHei" w:cs="ˎ̥;微软雅黑" w:eastAsia="黑体"/>
          <w:color w:val="333333"/>
          <w:kern w:val="0"/>
          <w:sz w:val="24"/>
        </w:rPr>
        <w:t>从低岗级转到高岗级。指员工岗位胜任能力达到所从事岗位以上级别岗位标准进行的转岗。员工转正答辩结果、年末咨询设计岗测试结果、员工工作业绩将做为员工从低岗级到高岗级转岗的重要依据。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 w:cs="ˎ̥;微软雅黑"/>
          <w:color w:val="333333"/>
          <w:kern w:val="0"/>
          <w:sz w:val="24"/>
        </w:rPr>
      </w:pPr>
      <w:r>
        <w:rPr>
          <w:rFonts w:eastAsia="黑体" w:cs="ˎ̥;微软雅黑" w:ascii="SimHei" w:hAnsi="SimHei"/>
          <w:color w:val="333333"/>
          <w:kern w:val="0"/>
          <w:sz w:val="24"/>
        </w:rPr>
        <w:t>4</w:t>
      </w:r>
      <w:r>
        <w:rPr>
          <w:rFonts w:ascii="SimHei" w:hAnsi="SimHei" w:cs="ˎ̥;微软雅黑" w:eastAsia="黑体"/>
          <w:color w:val="333333"/>
          <w:kern w:val="0"/>
          <w:sz w:val="24"/>
        </w:rPr>
        <w:t>．公司内部招聘作为员工岗位调整的方式之一。</w:t>
      </w:r>
    </w:p>
    <w:p>
      <w:pPr>
        <w:pStyle w:val="Normal"/>
        <w:tabs>
          <w:tab w:val="clear" w:pos="420"/>
          <w:tab w:val="left" w:pos="0" w:leader="none"/>
          <w:tab w:val="left" w:pos="2229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 w:cs="ˎ̥;微软雅黑"/>
          <w:color w:val="333333"/>
          <w:kern w:val="0"/>
          <w:sz w:val="24"/>
        </w:rPr>
      </w:pPr>
      <w:r>
        <w:rPr>
          <w:rFonts w:eastAsia="黑体" w:cs="ˎ̥;微软雅黑" w:ascii="SimHei" w:hAnsi="SimHei"/>
          <w:color w:val="333333"/>
          <w:kern w:val="0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0" w:leader="none"/>
          <w:tab w:val="left" w:pos="1374" w:leader="none"/>
        </w:tabs>
        <w:snapToGrid w:val="false"/>
        <w:spacing w:lineRule="auto" w:line="360"/>
        <w:jc w:val="center"/>
        <w:rPr>
          <w:rFonts w:ascii="仿宋_GB2312;微软雅黑" w:hAnsi="仿宋_GB2312;微软雅黑" w:eastAsia="仿宋_GB2312;微软雅黑"/>
          <w:b/>
          <w:b/>
          <w:color w:val="000000"/>
          <w:sz w:val="24"/>
        </w:rPr>
      </w:pPr>
      <w:r>
        <w:rPr>
          <w:rFonts w:ascii="SimHei" w:hAnsi="SimHei" w:eastAsia="黑体"/>
          <w:b/>
          <w:color w:val="000000"/>
          <w:sz w:val="24"/>
        </w:rPr>
        <w:t>转岗手续办理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ind w:start="414" w:hanging="0"/>
        <w:jc w:val="center"/>
        <w:rPr>
          <w:rFonts w:ascii="仿宋_GB2312;微软雅黑" w:hAnsi="仿宋_GB2312;微软雅黑" w:eastAsia="仿宋_GB2312;微软雅黑"/>
          <w:b/>
          <w:b/>
          <w:color w:val="000000"/>
          <w:sz w:val="24"/>
        </w:rPr>
      </w:pPr>
      <w:r>
        <w:rPr>
          <w:rFonts w:eastAsia="黑体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470" w:leader="none"/>
        </w:tabs>
        <w:spacing w:lineRule="auto" w:line="360"/>
        <w:ind w:firstLine="480"/>
        <w:rPr/>
      </w:pPr>
      <w:r>
        <w:rPr>
          <w:rFonts w:ascii="SimHei" w:hAnsi="SimHei" w:eastAsia="黑体"/>
          <w:color w:val="000000"/>
          <w:sz w:val="24"/>
        </w:rPr>
        <w:t xml:space="preserve">第六条  </w:t>
      </w:r>
      <w:r>
        <w:rPr>
          <w:rFonts w:ascii="SimHei" w:hAnsi="SimHei" w:eastAsia="黑体"/>
          <w:sz w:val="24"/>
        </w:rPr>
        <w:t>公司根据生产经营需要变更员工岗位：</w:t>
      </w:r>
    </w:p>
    <w:p>
      <w:pPr>
        <w:pStyle w:val="Normal"/>
        <w:spacing w:lineRule="auto" w:line="360"/>
        <w:ind w:firstLine="480"/>
        <w:rPr>
          <w:rFonts w:ascii="仿宋_GB2312;微软雅黑" w:hAnsi="仿宋_GB2312;微软雅黑" w:eastAsia="仿宋_GB2312;微软雅黑"/>
          <w:sz w:val="24"/>
        </w:rPr>
      </w:pPr>
      <w:r>
        <w:rPr>
          <w:rFonts w:eastAsia="黑体" w:ascii="SimHei" w:hAnsi="SimHei"/>
          <w:sz w:val="24"/>
        </w:rPr>
        <w:t>1</w:t>
      </w:r>
      <w:r>
        <w:rPr>
          <w:rFonts w:ascii="SimHei" w:hAnsi="SimHei" w:eastAsia="黑体"/>
          <w:sz w:val="24"/>
        </w:rPr>
        <w:t>．根据公司长远发展战略和相关部门工作需要，公司可以调整员工工作岗位或工作部门。</w:t>
      </w:r>
    </w:p>
    <w:p>
      <w:pPr>
        <w:pStyle w:val="Normal"/>
        <w:spacing w:lineRule="auto" w:line="360"/>
        <w:ind w:firstLine="480"/>
        <w:rPr>
          <w:rFonts w:ascii="仿宋_GB2312;微软雅黑" w:hAnsi="仿宋_GB2312;微软雅黑" w:eastAsia="仿宋_GB2312;微软雅黑"/>
          <w:sz w:val="24"/>
        </w:rPr>
      </w:pPr>
      <w:r>
        <w:rPr>
          <w:rFonts w:eastAsia="黑体" w:ascii="SimHei" w:hAnsi="SimHei"/>
          <w:sz w:val="24"/>
        </w:rPr>
        <w:t>2</w:t>
      </w:r>
      <w:r>
        <w:rPr>
          <w:rFonts w:ascii="SimHei" w:hAnsi="SimHei" w:eastAsia="黑体"/>
          <w:sz w:val="24"/>
        </w:rPr>
        <w:t>．公司将详细解释岗位调整原因，了解并尊重被调员工个人意见，员工应予以配合，充分阐述个人意见。</w:t>
      </w:r>
    </w:p>
    <w:p>
      <w:pPr>
        <w:pStyle w:val="Normal"/>
        <w:spacing w:lineRule="auto" w:line="360"/>
        <w:ind w:firstLine="480"/>
        <w:rPr>
          <w:rFonts w:ascii="仿宋_GB2312;微软雅黑" w:hAnsi="仿宋_GB2312;微软雅黑" w:eastAsia="仿宋_GB2312;微软雅黑"/>
          <w:sz w:val="24"/>
        </w:rPr>
      </w:pPr>
      <w:r>
        <w:rPr>
          <w:rFonts w:ascii="SimHei" w:hAnsi="SimHei" w:cs="ˎ̥;微软雅黑" w:eastAsia="黑体"/>
          <w:color w:val="333333"/>
          <w:kern w:val="0"/>
          <w:sz w:val="24"/>
        </w:rPr>
        <w:t>从高岗级转到低岗级调整，</w:t>
      </w:r>
      <w:r>
        <w:rPr>
          <w:rFonts w:ascii="SimHei" w:hAnsi="SimHei" w:eastAsia="黑体"/>
          <w:color w:val="000000"/>
          <w:sz w:val="24"/>
        </w:rPr>
        <w:t>员工需对以前所从事工作提交书面的工作总结，明确写出从事该岗位所具备的优势与存在的不足，签署《工作岗位变更协议》，如果员工不同意公司工作岗位变更的安排或不签署《工作岗位变更协议》的，并不影响公司对员工工作岗位变更决定的效力，公司也可以解除其劳动合同。</w:t>
      </w:r>
    </w:p>
    <w:p>
      <w:pPr>
        <w:pStyle w:val="Normal"/>
        <w:spacing w:lineRule="auto" w:line="360"/>
        <w:ind w:firstLine="480"/>
        <w:rPr/>
      </w:pPr>
      <w:r>
        <w:rPr>
          <w:rFonts w:eastAsia="黑体" w:ascii="SimHei" w:hAnsi="SimHei"/>
          <w:sz w:val="24"/>
        </w:rPr>
        <w:t>3</w:t>
      </w:r>
      <w:r>
        <w:rPr>
          <w:rFonts w:ascii="SimHei" w:hAnsi="SimHei" w:eastAsia="黑体"/>
          <w:sz w:val="24"/>
        </w:rPr>
        <w:t>．被调员工需在接到综合部发出的《员工岗位调整通知》后填写</w:t>
      </w:r>
      <w:r>
        <w:rPr>
          <w:rFonts w:ascii="SimHei" w:hAnsi="SimHei" w:eastAsia="黑体"/>
          <w:color w:val="000000"/>
          <w:sz w:val="24"/>
        </w:rPr>
        <w:t>《员工岗位调整审批表》</w:t>
      </w:r>
      <w:r>
        <w:rPr>
          <w:rFonts w:ascii="SimHei" w:hAnsi="SimHei" w:eastAsia="黑体"/>
          <w:sz w:val="24"/>
        </w:rPr>
        <w:t>一周内完成工作交接，并在综合部办妥基本移交手续。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1199" w:leader="none"/>
          <w:tab w:val="left" w:pos="1470" w:leader="none"/>
        </w:tabs>
        <w:spacing w:lineRule="auto" w:line="360"/>
        <w:rPr/>
      </w:pPr>
      <w:r>
        <w:rPr>
          <w:rFonts w:eastAsia="黑体" w:cs="仿宋_GB2312;微软雅黑" w:ascii="SimHei" w:hAnsi="SimHei"/>
          <w:color w:val="000000"/>
          <w:sz w:val="24"/>
        </w:rPr>
        <w:t xml:space="preserve">  </w:t>
      </w:r>
      <w:r>
        <w:rPr>
          <w:rFonts w:ascii="SimHei" w:hAnsi="SimHei" w:eastAsia="黑体"/>
          <w:sz w:val="24"/>
        </w:rPr>
        <w:t>员工根据自身发展需要申请变更员工岗位：</w:t>
      </w:r>
    </w:p>
    <w:p>
      <w:pPr>
        <w:pStyle w:val="Normal"/>
        <w:spacing w:lineRule="auto" w:line="360"/>
        <w:ind w:firstLine="480"/>
        <w:rPr>
          <w:rFonts w:ascii="仿宋_GB2312;微软雅黑" w:hAnsi="仿宋_GB2312;微软雅黑" w:eastAsia="仿宋_GB2312;微软雅黑"/>
          <w:sz w:val="24"/>
        </w:rPr>
      </w:pPr>
      <w:r>
        <w:rPr>
          <w:rFonts w:eastAsia="黑体" w:ascii="SimHei" w:hAnsi="SimHei"/>
          <w:sz w:val="24"/>
        </w:rPr>
        <w:t>1</w:t>
      </w:r>
      <w:r>
        <w:rPr>
          <w:rFonts w:ascii="SimHei" w:hAnsi="SimHei" w:eastAsia="黑体"/>
          <w:sz w:val="24"/>
        </w:rPr>
        <w:t>．根据员工个人工作情况及其岗位具体情况，员工可以申请调整工作岗位或工作部门。</w:t>
      </w:r>
    </w:p>
    <w:p>
      <w:pPr>
        <w:pStyle w:val="Normal"/>
        <w:spacing w:lineRule="auto" w:line="360"/>
        <w:ind w:firstLine="480"/>
        <w:rPr>
          <w:rFonts w:ascii="仿宋_GB2312;微软雅黑" w:hAnsi="仿宋_GB2312;微软雅黑" w:eastAsia="仿宋_GB2312;微软雅黑"/>
          <w:sz w:val="24"/>
        </w:rPr>
      </w:pPr>
      <w:r>
        <w:rPr>
          <w:rFonts w:eastAsia="黑体" w:ascii="SimHei" w:hAnsi="SimHei"/>
          <w:sz w:val="24"/>
        </w:rPr>
        <w:t>2</w:t>
      </w:r>
      <w:r>
        <w:rPr>
          <w:rFonts w:ascii="SimHei" w:hAnsi="SimHei" w:eastAsia="黑体"/>
          <w:sz w:val="24"/>
        </w:rPr>
        <w:t>．员工向部门负责人及综合部提出书面调岗申请，阐述转岗原因、转岗意向，以及转岗后初步工作目标和计划。</w:t>
      </w:r>
    </w:p>
    <w:p>
      <w:pPr>
        <w:pStyle w:val="Normal"/>
        <w:spacing w:lineRule="auto" w:line="360"/>
        <w:ind w:firstLine="480"/>
        <w:rPr/>
      </w:pPr>
      <w:r>
        <w:rPr>
          <w:rFonts w:eastAsia="黑体" w:ascii="SimHei" w:hAnsi="SimHei"/>
          <w:sz w:val="24"/>
        </w:rPr>
        <w:t>3</w:t>
      </w:r>
      <w:r>
        <w:rPr>
          <w:rFonts w:ascii="SimHei" w:hAnsi="SimHei" w:eastAsia="黑体"/>
          <w:sz w:val="24"/>
        </w:rPr>
        <w:t>．综合部根据员工提交申请组织该员工所在部门负责人、工作项目负责人、转岗意向部门负责人、转岗意向工作项目负责人进行讨论，结果报分管领导审核，总经理批准。员工应无条件服从公司安排。经总经理批准同意员工转岗的，员工应签署《工作岗位变更协议》。</w:t>
      </w:r>
    </w:p>
    <w:p>
      <w:pPr>
        <w:pStyle w:val="Normal"/>
        <w:spacing w:lineRule="auto" w:line="360"/>
        <w:ind w:firstLine="480"/>
        <w:rPr/>
      </w:pPr>
      <w:r>
        <w:rPr>
          <w:rFonts w:eastAsia="黑体" w:ascii="SimHei" w:hAnsi="SimHei"/>
          <w:sz w:val="24"/>
        </w:rPr>
        <w:t>4</w:t>
      </w:r>
      <w:r>
        <w:rPr>
          <w:rFonts w:ascii="SimHei" w:hAnsi="SimHei" w:eastAsia="黑体"/>
          <w:sz w:val="24"/>
        </w:rPr>
        <w:t>．被调员工需在接到综合部发出《员工岗位调整通知》后填写</w:t>
      </w:r>
      <w:r>
        <w:rPr>
          <w:rFonts w:ascii="SimHei" w:hAnsi="SimHei" w:eastAsia="黑体"/>
          <w:color w:val="000000"/>
          <w:sz w:val="24"/>
        </w:rPr>
        <w:t>《员工岗位调整审批表》</w:t>
      </w:r>
      <w:r>
        <w:rPr>
          <w:rFonts w:ascii="SimHei" w:hAnsi="SimHei" w:eastAsia="黑体"/>
          <w:sz w:val="24"/>
        </w:rPr>
        <w:t>一周内完成工作交接，并在综合部办妥基本移交手续。手续办妥后，被调员工需在规定期限内到新的岗位或部门报到。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/>
          <w:sz w:val="24"/>
        </w:rPr>
        <w:t>第八条  通过公司内聘转岗的员工，参照《</w:t>
      </w:r>
      <w:r>
        <w:rPr>
          <w:rFonts w:eastAsia="黑体" w:ascii="SimHei" w:hAnsi="SimHei"/>
          <w:sz w:val="24"/>
        </w:rPr>
        <w:t>XXXXXXXXX</w:t>
      </w:r>
      <w:r>
        <w:rPr>
          <w:rFonts w:ascii="SimHei" w:hAnsi="SimHei" w:eastAsia="黑体"/>
          <w:sz w:val="24"/>
        </w:rPr>
        <w:t>公司员工招聘管理制度》执行。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/>
          <w:sz w:val="24"/>
        </w:rPr>
        <w:t>第九条  员工岗位调整次月，综合部为其办理新的工作牌，公司按照《</w:t>
      </w:r>
      <w:r>
        <w:rPr>
          <w:rFonts w:eastAsia="黑体" w:ascii="SimHei" w:hAnsi="SimHei"/>
          <w:sz w:val="24"/>
        </w:rPr>
        <w:t>XXXXXXXXX</w:t>
      </w:r>
      <w:r>
        <w:rPr>
          <w:rFonts w:ascii="SimHei" w:hAnsi="SimHei" w:eastAsia="黑体"/>
          <w:sz w:val="24"/>
        </w:rPr>
        <w:t>公司薪酬制度》执行新的薪酬标准。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ind w:firstLine="480"/>
        <w:rPr>
          <w:rFonts w:ascii="仿宋_GB2312;微软雅黑" w:hAnsi="仿宋_GB2312;微软雅黑" w:eastAsia="仿宋_GB2312;微软雅黑"/>
          <w:color w:val="000000"/>
          <w:sz w:val="24"/>
        </w:rPr>
      </w:pPr>
      <w:r>
        <w:rPr>
          <w:rFonts w:ascii="SimHei" w:hAnsi="SimHei" w:eastAsia="黑体"/>
          <w:color w:val="000000"/>
          <w:sz w:val="24"/>
        </w:rPr>
        <w:t>第十条  员工转岗后所在部门应积极做好员工转岗培训。</w:t>
      </w:r>
    </w:p>
    <w:p>
      <w:pPr>
        <w:pStyle w:val="Style15"/>
        <w:spacing w:lineRule="auto" w:line="360"/>
        <w:rPr>
          <w:rFonts w:ascii="仿宋_GB2312;微软雅黑" w:hAnsi="仿宋_GB2312;微软雅黑" w:eastAsia="仿宋_GB2312;微软雅黑"/>
          <w:b/>
          <w:b/>
          <w:color w:val="000000"/>
          <w:sz w:val="24"/>
        </w:rPr>
      </w:pPr>
      <w:r>
        <w:rPr>
          <w:rFonts w:eastAsia="黑体" w:ascii="SimHei" w:hAnsi="SimHei"/>
          <w:b/>
          <w:color w:val="000000"/>
          <w:sz w:val="24"/>
        </w:rPr>
      </w:r>
    </w:p>
    <w:p>
      <w:pPr>
        <w:pStyle w:val="Style15"/>
        <w:spacing w:lineRule="auto" w:line="360"/>
        <w:ind w:firstLine="414"/>
        <w:jc w:val="center"/>
        <w:rPr>
          <w:rFonts w:ascii="仿宋_GB2312;微软雅黑" w:hAnsi="仿宋_GB2312;微软雅黑" w:eastAsia="仿宋_GB2312;微软雅黑"/>
          <w:b/>
          <w:b/>
        </w:rPr>
      </w:pPr>
      <w:r>
        <w:rPr>
          <w:rFonts w:ascii="SimHei" w:hAnsi="SimHei" w:eastAsia="黑体"/>
          <w:b/>
        </w:rPr>
        <w:t>附则</w:t>
      </w:r>
    </w:p>
    <w:p>
      <w:pPr>
        <w:pStyle w:val="Style15"/>
        <w:spacing w:lineRule="auto" w:line="360"/>
        <w:ind w:firstLine="414"/>
        <w:jc w:val="center"/>
        <w:rPr>
          <w:rFonts w:ascii="仿宋_GB2312;微软雅黑" w:hAnsi="仿宋_GB2312;微软雅黑" w:eastAsia="仿宋_GB2312;微软雅黑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Style15"/>
        <w:spacing w:lineRule="auto" w:line="360"/>
        <w:rPr>
          <w:rFonts w:ascii="仿宋_GB2312;微软雅黑" w:hAnsi="仿宋_GB2312;微软雅黑" w:eastAsia="仿宋_GB2312;微软雅黑"/>
        </w:rPr>
      </w:pPr>
      <w:r>
        <w:rPr>
          <w:rFonts w:eastAsia="黑体" w:cs="仿宋_GB2312;微软雅黑" w:ascii="SimHei" w:hAnsi="SimHei"/>
        </w:rPr>
        <w:t xml:space="preserve">    </w:t>
      </w:r>
      <w:r>
        <w:rPr>
          <w:rFonts w:ascii="SimHei" w:hAnsi="SimHei" w:eastAsia="黑体"/>
        </w:rPr>
        <w:t>第十一条  本制度由公司综合部负责解释，其他文件与本制度想抵触的地方，以本制度为准。</w:t>
      </w:r>
    </w:p>
    <w:p>
      <w:pPr>
        <w:pStyle w:val="Style15"/>
        <w:spacing w:lineRule="auto" w:line="360"/>
        <w:rPr>
          <w:rFonts w:ascii="仿宋_GB2312;微软雅黑" w:hAnsi="仿宋_GB2312;微软雅黑" w:eastAsia="仿宋_GB2312;微软雅黑"/>
        </w:rPr>
      </w:pPr>
      <w:r>
        <w:rPr>
          <w:rFonts w:eastAsia="黑体" w:cs="仿宋_GB2312;微软雅黑" w:ascii="SimHei" w:hAnsi="SimHei"/>
        </w:rPr>
        <w:t xml:space="preserve">    </w:t>
      </w:r>
      <w:r>
        <w:rPr>
          <w:rFonts w:ascii="SimHei" w:hAnsi="SimHei" w:eastAsia="黑体"/>
        </w:rPr>
        <w:t>第十二条  本制度自颁布之日起生效。</w:t>
      </w:r>
    </w:p>
    <w:p>
      <w:pPr>
        <w:pStyle w:val="Style15"/>
        <w:spacing w:lineRule="auto" w:line="360"/>
        <w:rPr>
          <w:rFonts w:ascii="仿宋_GB2312;微软雅黑" w:hAnsi="仿宋_GB2312;微软雅黑" w:eastAsia="仿宋_GB2312;微软雅黑"/>
        </w:rPr>
      </w:pPr>
      <w:r>
        <w:rPr>
          <w:rFonts w:eastAsia="黑体" w:ascii="SimHei" w:hAnsi="SimHei"/>
        </w:rPr>
      </w:r>
    </w:p>
    <w:p>
      <w:pPr>
        <w:pStyle w:val="Style15"/>
        <w:spacing w:lineRule="auto" w:line="360"/>
        <w:rPr/>
      </w:pPr>
      <w:r>
        <w:rPr>
          <w:rFonts w:eastAsia="黑体" w:cs="仿宋_GB2312;微软雅黑" w:ascii="SimHei" w:hAnsi="SimHei"/>
        </w:rPr>
        <w:t xml:space="preserve">                                                   </w:t>
      </w:r>
      <w:r>
        <w:rPr>
          <w:rFonts w:eastAsia="黑体" w:ascii="SimHei" w:hAnsi="SimHei"/>
        </w:rPr>
        <w:t>XXXXXXXXX</w:t>
      </w:r>
      <w:r>
        <w:rPr>
          <w:rFonts w:ascii="SimHei" w:hAnsi="SimHei" w:eastAsia="黑体"/>
        </w:rPr>
        <w:t>公司</w:t>
      </w:r>
    </w:p>
    <w:p>
      <w:pPr>
        <w:pStyle w:val="Style15"/>
        <w:spacing w:lineRule="auto" w:line="360"/>
        <w:rPr>
          <w:rFonts w:ascii="仿宋_GB2312;微软雅黑" w:hAnsi="仿宋_GB2312;微软雅黑" w:eastAsia="仿宋_GB2312;微软雅黑" w:cs="仿宋_GB2312;微软雅黑"/>
        </w:rPr>
      </w:pPr>
      <w:r>
        <w:rPr>
          <w:rFonts w:eastAsia="黑体" w:cs="仿宋_GB2312;微软雅黑" w:ascii="SimHei" w:hAnsi="SimHei"/>
        </w:rPr>
        <w:t xml:space="preserve">                                   </w:t>
      </w:r>
    </w:p>
    <w:sectPr>
      <w:type w:val="nextPage"/>
      <w:pgSz w:w="11906" w:h="16838"/>
      <w:pgMar w:left="1418" w:right="1418" w:header="0" w:top="1418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仿宋_GB2312">
    <w:altName w:val="微软雅黑"/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方正小标宋简体">
    <w:altName w:val="微软雅黑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chineseCountingThousand"/>
      <w:lvlText w:val="第%1条"/>
      <w:lvlJc w:val="start"/>
      <w:pPr>
        <w:tabs>
          <w:tab w:val="num" w:pos="1440"/>
        </w:tabs>
        <w:ind w:start="1440" w:hanging="960"/>
      </w:pPr>
      <w:rPr>
        <w:sz w:val="24"/>
        <w:kern w:val="0"/>
        <w:rFonts w:ascii="仿宋_GB2312;微软雅黑" w:hAnsi="仿宋_GB2312;微软雅黑" w:eastAsia="仿宋_GB2312;微软雅黑" w:cs="ˎ̥;微软雅黑"/>
        <w:color w:val="333333"/>
      </w:rPr>
    </w:lvl>
    <w:lvl w:ilvl="1">
      <w:start w:val="1"/>
      <w:numFmt w:val="lowerLetter"/>
      <w:lvlText w:val="%2)"/>
      <w:lvlJc w:val="start"/>
      <w:pPr>
        <w:tabs>
          <w:tab w:val="num" w:pos="1320"/>
        </w:tabs>
        <w:ind w:start="1320" w:hanging="420"/>
      </w:pPr>
      <w:rPr/>
    </w:lvl>
    <w:lvl w:ilvl="2">
      <w:start w:val="3"/>
      <w:numFmt w:val="decimal"/>
      <w:lvlText w:val="%3．"/>
      <w:lvlJc w:val="start"/>
      <w:pPr>
        <w:tabs>
          <w:tab w:val="num" w:pos="1680"/>
        </w:tabs>
        <w:ind w:start="1680" w:hanging="360"/>
      </w:pPr>
      <w:rPr>
        <w:sz w:val="24"/>
        <w:kern w:val="0"/>
        <w:rFonts w:ascii="仿宋_GB2312;微软雅黑" w:hAnsi="仿宋_GB2312;微软雅黑" w:eastAsia="仿宋_GB2312;微软雅黑" w:cs="ˎ̥;微软雅黑"/>
        <w:color w:val="333333"/>
      </w:rPr>
    </w:lvl>
    <w:lvl w:ilvl="3">
      <w:start w:val="1"/>
      <w:numFmt w:val="decimal"/>
      <w:lvlText w:val="%4."/>
      <w:lvlJc w:val="start"/>
      <w:pPr>
        <w:tabs>
          <w:tab w:val="num" w:pos="216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58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300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342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84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4260"/>
        </w:tabs>
        <w:ind w:start="4260" w:hanging="420"/>
      </w:pPr>
      <w:rPr/>
    </w:lvl>
  </w:abstractNum>
  <w:abstractNum w:abstractNumId="2">
    <w:lvl w:ilvl="0">
      <w:start w:val="1"/>
      <w:numFmt w:val="chineseCountingThousand"/>
      <w:lvlText w:val="第%1章"/>
      <w:lvlJc w:val="start"/>
      <w:pPr>
        <w:tabs>
          <w:tab w:val="num" w:pos="1374"/>
        </w:tabs>
        <w:ind w:start="1374" w:hanging="960"/>
      </w:pPr>
      <w:rPr/>
    </w:lvl>
    <w:lvl w:ilvl="1">
      <w:start w:val="2"/>
      <w:numFmt w:val="decimal"/>
      <w:lvlText w:val="%2．"/>
      <w:lvlJc w:val="start"/>
      <w:pPr>
        <w:tabs>
          <w:tab w:val="num" w:pos="1194"/>
        </w:tabs>
        <w:ind w:start="1194" w:hanging="360"/>
      </w:pPr>
      <w:rPr/>
    </w:lvl>
    <w:lvl w:ilvl="2">
      <w:start w:val="5"/>
      <w:numFmt w:val="chineseCountingThousand"/>
      <w:lvlText w:val="第%3条"/>
      <w:lvlJc w:val="start"/>
      <w:pPr>
        <w:tabs>
          <w:tab w:val="num" w:pos="1974"/>
        </w:tabs>
        <w:ind w:start="1974" w:hanging="720"/>
      </w:pPr>
      <w:rPr/>
    </w:lvl>
    <w:lvl w:ilvl="3">
      <w:start w:val="1"/>
      <w:numFmt w:val="decimal"/>
      <w:lvlText w:val="%4."/>
      <w:lvlJc w:val="start"/>
      <w:pPr>
        <w:tabs>
          <w:tab w:val="num" w:pos="2094"/>
        </w:tabs>
        <w:ind w:start="2094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514"/>
        </w:tabs>
        <w:ind w:start="2514" w:hanging="420"/>
      </w:pPr>
      <w:rPr/>
    </w:lvl>
    <w:lvl w:ilvl="5">
      <w:start w:val="1"/>
      <w:numFmt w:val="lowerRoman"/>
      <w:lvlText w:val="%6."/>
      <w:lvlJc w:val="end"/>
      <w:pPr>
        <w:tabs>
          <w:tab w:val="num" w:pos="2934"/>
        </w:tabs>
        <w:ind w:start="2934" w:hanging="420"/>
      </w:pPr>
      <w:rPr/>
    </w:lvl>
    <w:lvl w:ilvl="6">
      <w:start w:val="1"/>
      <w:numFmt w:val="decimal"/>
      <w:lvlText w:val="%7."/>
      <w:lvlJc w:val="start"/>
      <w:pPr>
        <w:tabs>
          <w:tab w:val="num" w:pos="3354"/>
        </w:tabs>
        <w:ind w:start="3354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774"/>
        </w:tabs>
        <w:ind w:start="3774" w:hanging="420"/>
      </w:pPr>
      <w:rPr/>
    </w:lvl>
    <w:lvl w:ilvl="8">
      <w:start w:val="1"/>
      <w:numFmt w:val="lowerRoman"/>
      <w:lvlText w:val="%9."/>
      <w:lvlJc w:val="end"/>
      <w:pPr>
        <w:tabs>
          <w:tab w:val="num" w:pos="4194"/>
        </w:tabs>
        <w:ind w:start="4194" w:hanging="420"/>
      </w:pPr>
      <w:rPr/>
    </w:lvl>
  </w:abstractNum>
  <w:abstractNum w:abstractNumId="3">
    <w:lvl w:ilvl="0">
      <w:start w:val="7"/>
      <w:numFmt w:val="chineseCountingThousand"/>
      <w:lvlText w:val="第%1条"/>
      <w:lvlJc w:val="start"/>
      <w:pPr>
        <w:tabs>
          <w:tab w:val="num" w:pos="1199"/>
        </w:tabs>
        <w:ind w:start="1199" w:hanging="720"/>
      </w:pPr>
      <w:rPr>
        <w:sz w:val="24"/>
        <w:rFonts w:ascii="仿宋_GB2312;微软雅黑" w:hAnsi="仿宋_GB2312;微软雅黑" w:eastAsia="仿宋_GB2312;微软雅黑" w:cs="宋体;SimSun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1319"/>
        </w:tabs>
        <w:ind w:start="1319" w:hanging="420"/>
      </w:pPr>
      <w:rPr/>
    </w:lvl>
    <w:lvl w:ilvl="2">
      <w:start w:val="1"/>
      <w:numFmt w:val="lowerRoman"/>
      <w:lvlText w:val="%3."/>
      <w:lvlJc w:val="end"/>
      <w:pPr>
        <w:tabs>
          <w:tab w:val="num" w:pos="1739"/>
        </w:tabs>
        <w:ind w:start="1739" w:hanging="420"/>
      </w:pPr>
      <w:rPr/>
    </w:lvl>
    <w:lvl w:ilvl="3">
      <w:start w:val="1"/>
      <w:numFmt w:val="decimal"/>
      <w:lvlText w:val="%4."/>
      <w:lvlJc w:val="start"/>
      <w:pPr>
        <w:tabs>
          <w:tab w:val="num" w:pos="2159"/>
        </w:tabs>
        <w:ind w:start="2159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579"/>
        </w:tabs>
        <w:ind w:start="2579" w:hanging="420"/>
      </w:pPr>
      <w:rPr/>
    </w:lvl>
    <w:lvl w:ilvl="5">
      <w:start w:val="1"/>
      <w:numFmt w:val="lowerRoman"/>
      <w:lvlText w:val="%6."/>
      <w:lvlJc w:val="end"/>
      <w:pPr>
        <w:tabs>
          <w:tab w:val="num" w:pos="2999"/>
        </w:tabs>
        <w:ind w:start="2999" w:hanging="420"/>
      </w:pPr>
      <w:rPr/>
    </w:lvl>
    <w:lvl w:ilvl="6">
      <w:start w:val="1"/>
      <w:numFmt w:val="decimal"/>
      <w:lvlText w:val="%7."/>
      <w:lvlJc w:val="start"/>
      <w:pPr>
        <w:tabs>
          <w:tab w:val="num" w:pos="3419"/>
        </w:tabs>
        <w:ind w:start="3419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839"/>
        </w:tabs>
        <w:ind w:start="3839" w:hanging="420"/>
      </w:pPr>
      <w:rPr/>
    </w:lvl>
    <w:lvl w:ilvl="8">
      <w:start w:val="1"/>
      <w:numFmt w:val="lowerRoman"/>
      <w:lvlText w:val="%9."/>
      <w:lvlJc w:val="end"/>
      <w:pPr>
        <w:tabs>
          <w:tab w:val="num" w:pos="4259"/>
        </w:tabs>
        <w:ind w:start="4259" w:hanging="42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宋体;SimSun" w:hAnsi="宋体;SimSun" w:eastAsia="宋体;SimSun" w:cs="宋体;SimSu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>
      <w:rFonts w:ascii="仿宋_GB2312;微软雅黑" w:hAnsi="仿宋_GB2312;微软雅黑" w:eastAsia="仿宋_GB2312;微软雅黑" w:cs="ˎ̥;微软雅黑"/>
      <w:color w:val="333333"/>
      <w:kern w:val="0"/>
      <w:sz w:val="24"/>
    </w:rPr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仿宋_GB2312;微软雅黑" w:hAnsi="仿宋_GB2312;微软雅黑" w:eastAsia="仿宋_GB2312;微软雅黑" w:cs="宋体;SimSun"/>
      <w:color w:val="000000"/>
      <w:sz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普通(网站)"/>
    <w:basedOn w:val="Normal"/>
    <w:qFormat/>
    <w:pPr/>
    <w:rPr>
      <w:sz w:val="24"/>
    </w:rPr>
  </w:style>
  <w:style w:type="paragraph" w:styleId="TextBodyIndent">
    <w:name w:val="Body Text Indent"/>
    <w:basedOn w:val="Normal"/>
    <w:pPr>
      <w:ind w:firstLine="420"/>
    </w:pPr>
    <w:rPr>
      <w:rFonts w:ascii="宋体;SimSun" w:hAnsi="宋体;SimSun" w:cs="宋体;SimSun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Web">
    <w:name w:val="普通 (Web)"/>
    <w:basedOn w:val="Normal"/>
    <w:qFormat/>
    <w:pPr>
      <w:widowControl/>
      <w:spacing w:before="100" w:after="100"/>
      <w:jc w:val="start"/>
    </w:pPr>
    <w:rPr>
      <w:rFonts w:ascii="宋体;SimSun" w:hAnsi="宋体;SimSun" w:cs="宋体;SimSun"/>
      <w:color w:val="000000"/>
      <w:kern w:val="0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2007-12-14T05:46:00Z</dcterms:created>
  <dc:creator>呆滞集团</dc:creator>
  <dc:description>呆滞集团</dc:description>
  <cp:keywords>呆滞集团 呆滞集团</cp:keywords>
  <dc:language>en-US</dc:language>
  <cp:lastModifiedBy>Administrator</cp:lastModifiedBy>
  <cp:lastPrinted>2007-12-14T12:03:00Z</cp:lastPrinted>
  <dcterms:modified xsi:type="dcterms:W3CDTF">2021-11-02T17:01:00Z</dcterms:modified>
  <cp:revision>3</cp:revision>
  <dc:subject>呆滞集团</dc:subject>
  <dc:title>呆滞集团</dc:title>
</cp:coreProperties>
</file>