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MsoNormal"/>
        <w:spacing w:lineRule="auto" w:line="360" w:before="0" w:after="0"/>
        <w:ind w:start="0" w:end="0" w:hanging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b/>
          <w:bCs/>
          <w:color w:val="000000"/>
          <w:sz w:val="32"/>
          <w:szCs w:val="32"/>
        </w:rPr>
        <w:t xml:space="preserve">员工调岗管理规定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1.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目的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为标准中心所属各车间对本单位生产内部调动岗位的原那么、条件、程序、要求，保障中心生产经营工作的正常运作，特制定本方法。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2.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适用范围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本方法适用于高速中心所属各车间。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3.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术语和定义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内部调岗：是指车间或部门内部因岗位调整或业务需要，或为符合员工工作能力和开展意向，而调发开工岗位的管理行为。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内部调岗应坚持的原那么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坚持员工本人同意的原那么。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坚持先后上岗的原那么。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4.3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坚持有利于员工本人工作能力发挥的原那么。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4.4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坚持不跨越工种的原那么。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4.5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坚持有利于车间生产的原那么。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4.6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坚持符合员工自身开展意愿的原那么。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5.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内部调岗的方式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5.1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由员工本人提出申请获准后的调动。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5.2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车间因生产需要进行的调动。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内部调岗的条件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车间生产的需要。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员工本人不能够承担本职工作。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6.3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员工对自身开展的愿望。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6.4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员工岗前培训成绩不合格。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6.5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员工因质量、平安等原因导致待岗或下岗。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7.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调岗的程序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7.1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本人提出调岗的，由员工本人填写《调岗申请表》，经员工的班组长、工段长签字认可后，由员工本人将《调岗申请表》上交到本车间员，由车间人事员上报车间主任签字同意后，再由车间人事员通知车间培训管理人员进行新岗位的岗前培训，培训合格并发上岗证前方可上岗，《调岗申请表》的原件由车间培训管理人员存档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7.2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车间提出调岗的，由车间管理人员填写《调岗申请表》，经由员工本人、班组长、工段长、车间主任签字同意后，由车间人事员通知车间培训管理人员进行培训，《调岗申请表》的原件由车间培训管理人员存档。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7.3</w:t>
      </w:r>
      <w:r>
        <w:rPr>
          <w:rFonts w:ascii="SimHei" w:hAnsi="SimHei" w:cs="宋体" w:eastAsia="黑体"/>
          <w:color w:val="000000"/>
          <w:sz w:val="28"/>
          <w:szCs w:val="28"/>
        </w:rPr>
        <w:t>各车间培训管理人员应将本车间当月《内部调岗人员汇总表》于次月</w:t>
      </w:r>
      <w:r>
        <w:rPr>
          <w:rFonts w:eastAsia="黑体" w:cs="宋体" w:ascii="SimHei" w:hAnsi="SimHei"/>
          <w:color w:val="000000"/>
          <w:sz w:val="28"/>
          <w:szCs w:val="28"/>
        </w:rPr>
        <w:t>10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日前以纸介形式上报中心领导批准后，再将《内部调岗人员汇总表》的电子版和原件转给中心培训干事作为调岗、培训和作证的依据并存档。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8.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相关要求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8.1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员工本人提出调岗的，如不符合调动岗位条件，未被批准，车间要做好思想工作，劝其在原工作岗位好好工作。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8.2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如车间提出调岗的，车间要做好员工思想工作，员工确实不同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意的，车间要另行选派他人。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9.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相关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9.1</w:t>
      </w:r>
      <w:r>
        <w:rPr>
          <w:rFonts w:ascii="SimHei" w:hAnsi="SimHei" w:cs="宋体" w:eastAsia="黑体"/>
          <w:color w:val="000000"/>
          <w:sz w:val="28"/>
          <w:szCs w:val="28"/>
        </w:rPr>
        <w:t>对于不履行调岗程序任意调岗的车间，中心将对该车间主管领导予以</w:t>
      </w:r>
      <w:r>
        <w:rPr>
          <w:rFonts w:eastAsia="黑体" w:cs="宋体" w:ascii="SimHei" w:hAnsi="SimHei"/>
          <w:color w:val="000000"/>
          <w:sz w:val="28"/>
          <w:szCs w:val="28"/>
        </w:rPr>
        <w:t>500-1000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元的处分。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9.2</w:t>
      </w:r>
      <w:r>
        <w:rPr>
          <w:rFonts w:ascii="SimHei" w:hAnsi="SimHei" w:cs="宋体" w:eastAsia="黑体"/>
          <w:color w:val="000000"/>
          <w:sz w:val="28"/>
          <w:szCs w:val="28"/>
        </w:rPr>
        <w:t>对于不按时上报《调岗汇总表》的车间，中心将对该车间相关负责人员予以</w:t>
      </w:r>
      <w:r>
        <w:rPr>
          <w:rFonts w:eastAsia="黑体" w:cs="宋体" w:ascii="SimHei" w:hAnsi="SimHei"/>
          <w:color w:val="000000"/>
          <w:sz w:val="28"/>
          <w:szCs w:val="28"/>
        </w:rPr>
        <w:t>300-500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元的处分。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9.3</w:t>
      </w:r>
      <w:r>
        <w:rPr>
          <w:rFonts w:ascii="SimHei" w:hAnsi="SimHei" w:cs="宋体" w:eastAsia="黑体"/>
          <w:color w:val="000000"/>
          <w:sz w:val="28"/>
          <w:szCs w:val="28"/>
        </w:rPr>
        <w:t>对于调岗后未进行岗前培训或培训不合格即上岗的，对车间相关负责人予以</w:t>
      </w:r>
      <w:r>
        <w:rPr>
          <w:rFonts w:eastAsia="黑体" w:cs="宋体" w:ascii="SimHei" w:hAnsi="SimHei"/>
          <w:color w:val="000000"/>
          <w:sz w:val="28"/>
          <w:szCs w:val="28"/>
        </w:rPr>
        <w:t>300-500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元的处分。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10.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其他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10.1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本方法由综合部起草并解释。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10.2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本方法自公布之日起执行。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车间员工调岗与岗位轮换管理方法 </w:t>
      </w:r>
      <w:r>
        <w:rPr>
          <w:rFonts w:eastAsia="黑体" w:cs="宋体" w:ascii="SimHei" w:hAnsi="SimHei"/>
          <w:color w:val="000000"/>
          <w:sz w:val="28"/>
          <w:szCs w:val="28"/>
        </w:rPr>
        <w:t xml:space="preserve">xx-09-14 13:57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1</w:t>
      </w:r>
      <w:r>
        <w:rPr>
          <w:rFonts w:ascii="SimHei" w:hAnsi="SimHei" w:cs="宋体" w:eastAsia="黑体"/>
          <w:color w:val="000000"/>
          <w:sz w:val="28"/>
          <w:szCs w:val="28"/>
        </w:rPr>
        <w:t>．目的</w:t>
      </w:r>
      <w:r>
        <w:rPr>
          <w:rFonts w:eastAsia="黑体" w:cs="宋体" w:ascii="SimHei" w:hAnsi="SimHei"/>
          <w:color w:val="000000"/>
          <w:sz w:val="28"/>
          <w:szCs w:val="28"/>
        </w:rPr>
        <w:t xml:space="preserve">`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标准公司员工岗位调动的条件、管理、实施程序；目的是通过员工调岗与岗位轮换，以确保公司车间内合理调配车间内资源，保证车间内生产能力平衡。鼓励员工多学新的技能，一专多能，培养员工掌握多项工作技能和业务流程，具有全面独立的工作能力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．应用范围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所有车间一线操作工、辅助工。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３．职责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3.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１由公司人力资源部负责组织；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3.2 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由生产部统一调配人员；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3.3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由生产车间具体实施。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４．标准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４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１调岗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因机构调整、业务需要，或为符合员工工作能力和开展意向，可安排员工调岗。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４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２岗位轮换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 xml:space="preserve">胜任现有工作岗位，因工作或培养员工一专多能的需要，具备岗位轮换职位的各项条件，可安排员工岗位轮换。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管理流程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１调岗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１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１调岗是指员工同岗位等级、不同岗位间的流动，表现为生产部内不同车间内的岗位调动。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１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２当生产车间内部出现岗位空缺时，可考虑内部员工调动。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１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３车间内人员调岗由生产根据生产车间状况，取得调出与调入车间科长的同意后，报人力资源部审查。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１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４人力资源部审查后，调岗的员工发出《调任单》，办理员工调岗手续。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１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５办理完手续后，调岗人员持《调任单》到新工作部门上岗。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２岗位轮换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２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１根据工作需要，车间员工轮换在各车间内部或跨车间之间进行。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２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２轮换期限：根据生产任务的要求，合理安排人员轮换，一般轮换最短时间为１个月。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２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３根本程序：由生产部根据生产需要，提出员工轮换意见和理由报人力资源部。最先轮换与业务相似或相近的岗位，或其工作岗位的工作任务不饱满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２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４计件车间员工轮换工资结算方式，由于轮换后工程不同员工需要一段适应期限，员工在轮换的第一个月按照计时加产量方式结算工资，一个月后，按计件方式结算。下次轮换时，优先考虑已经轮换此工作岗位的员工，并考虑之前轮换时间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５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>２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５员工在新的工作岗位，能很快熟悉工作内容，可优先评选为公司多技能工，并发放多技能工相应的技能补贴。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６</w:t>
      </w:r>
      <w:r>
        <w:rPr>
          <w:rFonts w:eastAsia="黑体" w:cs="宋体" w:ascii="SimHei" w:hAnsi="SimHei"/>
          <w:color w:val="000000"/>
          <w:sz w:val="28"/>
          <w:szCs w:val="28"/>
        </w:rPr>
        <w:t>.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附那么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６</w:t>
      </w:r>
      <w:r>
        <w:rPr>
          <w:rFonts w:eastAsia="黑体" w:cs="宋体" w:ascii="SimHei" w:hAnsi="SimHei"/>
          <w:color w:val="000000"/>
          <w:sz w:val="28"/>
          <w:szCs w:val="28"/>
        </w:rPr>
        <w:t xml:space="preserve">.1 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本方法由人力资源中心制定，其解释权属人力资源中心。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６</w:t>
      </w:r>
      <w:r>
        <w:rPr>
          <w:rFonts w:eastAsia="黑体" w:cs="宋体" w:ascii="SimHei" w:hAnsi="SimHei"/>
          <w:color w:val="000000"/>
          <w:sz w:val="28"/>
          <w:szCs w:val="28"/>
        </w:rPr>
        <w:t xml:space="preserve">.2 </w:t>
      </w:r>
      <w:r>
        <w:rPr>
          <w:rFonts w:ascii="SimHei" w:hAnsi="SimHei" w:cs="宋体" w:eastAsia="黑体"/>
          <w:color w:val="000000"/>
          <w:sz w:val="28"/>
          <w:szCs w:val="28"/>
        </w:rPr>
        <w:t>本方法自</w:t>
      </w:r>
      <w:r>
        <w:rPr>
          <w:rFonts w:eastAsia="黑体" w:cs="宋体" w:ascii="SimHei" w:hAnsi="SimHei"/>
          <w:color w:val="000000"/>
          <w:sz w:val="28"/>
          <w:szCs w:val="28"/>
        </w:rPr>
        <w:t>xx</w:t>
      </w:r>
      <w:r>
        <w:rPr>
          <w:rFonts w:ascii="SimHei" w:hAnsi="SimHei" w:cs="宋体" w:eastAsia="黑体"/>
          <w:color w:val="000000"/>
          <w:sz w:val="28"/>
          <w:szCs w:val="28"/>
        </w:rPr>
        <w:t>年５月</w:t>
      </w:r>
      <w:r>
        <w:rPr>
          <w:rFonts w:eastAsia="黑体" w:cs="宋体" w:ascii="SimHei" w:hAnsi="SimHei"/>
          <w:color w:val="000000"/>
          <w:sz w:val="28"/>
          <w:szCs w:val="28"/>
        </w:rPr>
        <w:t>2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５日起实施，如与上级有关规定矛盾时，按上级规定执行。 </w:t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p>
      <w:pPr>
        <w:pStyle w:val="PMsoNormal"/>
        <w:spacing w:lineRule="auto" w:line="360" w:before="0" w:after="0"/>
        <w:ind w:start="0" w:end="0" w:hanging="0"/>
        <w:jc w:val="start"/>
        <w:rPr>
          <w:rFonts w:ascii="Calibri" w:hAnsi="Calibri" w:eastAsia="Calibri" w:cs="Calibri"/>
          <w:sz w:val="21"/>
          <w:szCs w:val="21"/>
        </w:rPr>
      </w:pPr>
      <w:r>
        <w:rPr>
          <w:rFonts w:eastAsia="黑体" w:cs="Calibri" w:ascii="SimHei" w:hAnsi="SimHei"/>
          <w:sz w:val="21"/>
          <w:szCs w:val="21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0" w:characterSet="windows-1252"/>
    <w:family w:val="auto"/>
    <w:pitch w:val="default"/>
  </w:font>
  <w:font w:name="宋体"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DivSection0">
    <w:name w:val="div_Section0"/>
    <w:basedOn w:val="Normal"/>
    <w:qFormat/>
    <w:pPr/>
    <w:rPr/>
  </w:style>
  <w:style w:type="paragraph" w:styleId="PMsoNormal">
    <w:name w:val="p_MsoNormal"/>
    <w:basedOn w:val="Normal"/>
    <w:qFormat/>
    <w:pPr>
      <w:jc w:val="both"/>
    </w:pPr>
    <w:rPr>
      <w:rFonts w:ascii="Calibri" w:hAnsi="Calibri" w:eastAsia="Calibri" w:cs="Calibri"/>
      <w:sz w:val="21"/>
      <w:szCs w:val="21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