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38" w:type="dxa"/>
        <w:jc w:val="center"/>
        <w:tblInd w:w="0" w:type="dxa"/>
        <w:tblLayout w:type="fixed"/>
        <w:tblCellMar>
          <w:top w:w="0" w:type="dxa"/>
          <w:start w:w="108" w:type="dxa"/>
          <w:bottom w:w="0" w:type="dxa"/>
          <w:end w:w="108" w:type="dxa"/>
        </w:tblCellMar>
      </w:tblPr>
      <w:tblGrid>
        <w:gridCol w:w="499"/>
        <w:gridCol w:w="944"/>
        <w:gridCol w:w="2125"/>
        <w:gridCol w:w="1407"/>
        <w:gridCol w:w="2025"/>
        <w:gridCol w:w="1545"/>
        <w:gridCol w:w="1993"/>
      </w:tblGrid>
      <w:tr>
        <w:trPr>
          <w:tblHeader w:val="true"/>
          <w:trHeight w:val="302" w:hRule="atLeast"/>
          <w:cantSplit w:val="true"/>
        </w:trPr>
        <w:tc>
          <w:tcPr>
            <w:tcW w:w="49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标题</w:t>
            </w:r>
          </w:p>
        </w:tc>
        <w:tc>
          <w:tcPr>
            <w:tcW w:w="6501"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eastAsia="黑体"/>
              </w:rPr>
            </w:r>
            <w:r>
              <w:rPr>
                <w:rFonts w:ascii="SimHei" w:hAnsi="SimHei" w:cs="宋体;..ì." w:eastAsia="黑体"/>
                <w:kern w:val="0"/>
              </w:rPr>
              <w:t>武汉天元锅炉有限责任公司</w:t>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版    本</w:t>
            </w:r>
          </w:p>
        </w:tc>
        <w:tc>
          <w:tcPr>
            <w:tcW w:w="1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 xml:space="preserve">第 </w:t>
            </w:r>
            <w:r>
              <w:rPr>
                <w:rFonts w:cs="宋体;..ì." w:ascii="SimHei" w:hAnsi="SimHei" w:eastAsia="黑体"/>
                <w:kern w:val="0"/>
              </w:rPr>
              <w:t xml:space="preserve">1 </w:t>
            </w:r>
            <w:r>
              <w:rPr>
                <w:rFonts w:ascii="SimHei" w:hAnsi="SimHei" w:cs="宋体;..ì." w:eastAsia="黑体"/>
                <w:kern w:val="0"/>
              </w:rPr>
              <w:t>版</w:t>
            </w:r>
          </w:p>
        </w:tc>
      </w:tr>
      <w:tr>
        <w:trPr>
          <w:tblHeader w:val="true"/>
          <w:trHeight w:val="343" w:hRule="atLeast"/>
          <w:cantSplit w:val="true"/>
        </w:trPr>
        <w:tc>
          <w:tcPr>
            <w:tcW w:w="4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start"/>
              <w:rPr>
                <w:rFonts w:ascii="宋体;..ì." w:hAnsi="宋体;..ì." w:cs="宋体;..ì."/>
                <w:kern w:val="0"/>
              </w:rPr>
            </w:pPr>
            <w:r>
              <w:rPr>
                <w:rFonts w:cs="宋体;..ì." w:ascii="宋体;..ì." w:hAnsi="宋体;..ì."/>
                <w:kern w:val="0"/>
              </w:rPr>
            </w:r>
          </w:p>
        </w:tc>
        <w:tc>
          <w:tcPr>
            <w:tcW w:w="6501"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before="312" w:after="312"/>
              <w:jc w:val="center"/>
              <w:rPr>
                <w:rFonts w:eastAsia="黑体;oúì."/>
                <w:spacing w:val="80"/>
                <w:sz w:val="36"/>
                <w:szCs w:val="36"/>
              </w:rPr>
            </w:pPr>
            <w:r>
              <w:rPr>
                <w:rFonts w:eastAsia="黑体" w:ascii="SimHei" w:hAnsi="SimHei"/>
                <w:spacing w:val="80"/>
                <w:sz w:val="36"/>
                <w:szCs w:val="36"/>
              </w:rPr>
              <w:t>员工培训管理办法</w:t>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版    次</w:t>
            </w:r>
          </w:p>
        </w:tc>
        <w:tc>
          <w:tcPr>
            <w:tcW w:w="1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 xml:space="preserve">第 </w:t>
            </w:r>
            <w:r>
              <w:rPr>
                <w:rFonts w:cs="宋体;..ì." w:ascii="SimHei" w:hAnsi="SimHei" w:eastAsia="黑体"/>
                <w:kern w:val="0"/>
              </w:rPr>
              <w:t xml:space="preserve">3 </w:t>
            </w:r>
            <w:r>
              <w:rPr>
                <w:rFonts w:ascii="SimHei" w:hAnsi="SimHei" w:cs="宋体;..ì." w:eastAsia="黑体"/>
                <w:kern w:val="0"/>
              </w:rPr>
              <w:t>次修改</w:t>
            </w:r>
          </w:p>
        </w:tc>
      </w:tr>
      <w:tr>
        <w:trPr>
          <w:tblHeader w:val="true"/>
          <w:trHeight w:val="343" w:hRule="atLeast"/>
          <w:cantSplit w:val="true"/>
        </w:trPr>
        <w:tc>
          <w:tcPr>
            <w:tcW w:w="4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start"/>
              <w:rPr>
                <w:rFonts w:ascii="宋体;..ì." w:hAnsi="宋体;..ì." w:cs="宋体;..ì."/>
                <w:kern w:val="0"/>
              </w:rPr>
            </w:pPr>
            <w:r>
              <w:rPr>
                <w:rFonts w:cs="宋体;..ì." w:ascii="宋体;..ì." w:hAnsi="宋体;..ì."/>
                <w:kern w:val="0"/>
              </w:rPr>
            </w:r>
          </w:p>
        </w:tc>
        <w:tc>
          <w:tcPr>
            <w:tcW w:w="650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ì." w:hAnsi="宋体;..ì." w:cs="宋体;..ì."/>
                <w:kern w:val="0"/>
              </w:rPr>
            </w:pPr>
            <w:r>
              <w:rPr>
                <w:rFonts w:cs="宋体;..ì." w:ascii="宋体;..ì." w:hAnsi="宋体;..ì."/>
                <w:kern w:val="0"/>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页    码</w:t>
            </w:r>
          </w:p>
        </w:tc>
        <w:tc>
          <w:tcPr>
            <w:tcW w:w="1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 xml:space="preserve">共 </w:t>
            </w:r>
            <w:r>
              <w:rPr>
                <w:rFonts w:cs="宋体;..ì." w:ascii="SimHei" w:hAnsi="SimHei" w:eastAsia="黑体"/>
                <w:kern w:val="0"/>
              </w:rPr>
              <w:t>13</w:t>
            </w:r>
            <w:r>
              <w:rPr>
                <w:rFonts w:ascii="SimHei" w:hAnsi="SimHei" w:cs="宋体;..ì." w:eastAsia="黑体"/>
                <w:kern w:val="0"/>
              </w:rPr>
              <w:t>页第</w:t>
            </w:r>
            <w:r>
              <w:rPr>
                <w:rFonts w:cs="宋体;..ì." w:ascii="SimHei" w:hAnsi="SimHei" w:eastAsia="黑体"/>
                <w:kern w:val="0"/>
              </w:rPr>
              <w:t>1</w:t>
            </w:r>
            <w:r>
              <w:rPr>
                <w:rFonts w:ascii="SimHei" w:hAnsi="SimHei" w:cs="宋体;..ì." w:eastAsia="黑体"/>
                <w:kern w:val="0"/>
              </w:rPr>
              <w:t>页</w:t>
            </w:r>
          </w:p>
        </w:tc>
      </w:tr>
      <w:tr>
        <w:trPr>
          <w:tblHeader w:val="true"/>
          <w:trHeight w:val="343" w:hRule="atLeast"/>
          <w:cantSplit w:val="true"/>
        </w:trPr>
        <w:tc>
          <w:tcPr>
            <w:tcW w:w="4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start"/>
              <w:rPr>
                <w:rFonts w:ascii="宋体;..ì." w:hAnsi="宋体;..ì." w:cs="宋体;..ì."/>
                <w:kern w:val="0"/>
              </w:rPr>
            </w:pPr>
            <w:r>
              <w:rPr>
                <w:rFonts w:cs="宋体;..ì." w:ascii="宋体;..ì." w:hAnsi="宋体;..ì."/>
                <w:kern w:val="0"/>
              </w:rPr>
            </w:r>
          </w:p>
        </w:tc>
        <w:tc>
          <w:tcPr>
            <w:tcW w:w="650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ì." w:hAnsi="宋体;..ì." w:cs="宋体;..ì."/>
                <w:kern w:val="0"/>
              </w:rPr>
            </w:pPr>
            <w:r>
              <w:rPr>
                <w:rFonts w:cs="宋体;..ì." w:ascii="宋体;..ì." w:hAnsi="宋体;..ì."/>
                <w:kern w:val="0"/>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受控状态</w:t>
            </w:r>
          </w:p>
        </w:tc>
        <w:tc>
          <w:tcPr>
            <w:tcW w:w="1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送审稿</w:t>
            </w:r>
          </w:p>
        </w:tc>
      </w:tr>
      <w:tr>
        <w:trPr>
          <w:tblHeader w:val="true"/>
          <w:trHeight w:val="70" w:hRule="atLeast"/>
          <w:cantSplit w:val="true"/>
        </w:trPr>
        <w:tc>
          <w:tcPr>
            <w:tcW w:w="49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start"/>
              <w:rPr>
                <w:rFonts w:ascii="宋体;..ì." w:hAnsi="宋体;..ì." w:cs="宋体;..ì."/>
                <w:kern w:val="0"/>
              </w:rPr>
            </w:pPr>
            <w:r>
              <w:rPr>
                <w:rFonts w:cs="宋体;..ì." w:ascii="宋体;..ì." w:hAnsi="宋体;..ì."/>
                <w:kern w:val="0"/>
              </w:rPr>
            </w:r>
          </w:p>
        </w:tc>
        <w:tc>
          <w:tcPr>
            <w:tcW w:w="6501"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ì." w:hAnsi="宋体;..ì." w:cs="宋体;..ì."/>
                <w:kern w:val="0"/>
              </w:rPr>
            </w:pPr>
            <w:r>
              <w:rPr>
                <w:rFonts w:cs="宋体;..ì." w:ascii="宋体;..ì." w:hAnsi="宋体;..ì."/>
                <w:kern w:val="0"/>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编    号</w:t>
            </w:r>
          </w:p>
        </w:tc>
        <w:tc>
          <w:tcPr>
            <w:tcW w:w="19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 xml:space="preserve">　</w:t>
            </w:r>
          </w:p>
        </w:tc>
      </w:tr>
      <w:tr>
        <w:trPr>
          <w:trHeight w:val="11158" w:hRule="atLeast"/>
        </w:trPr>
        <w:tc>
          <w:tcPr>
            <w:tcW w:w="10538"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60"/>
              <w:ind w:firstLine="3780"/>
              <w:rPr>
                <w:rFonts w:ascii="宋体;..ì." w:hAnsi="宋体;..ì." w:cs="宋体;..ì."/>
              </w:rPr>
            </w:pPr>
            <w:r>
              <w:rPr>
                <w:rFonts w:ascii="SimHei" w:hAnsi="SimHei" w:cs="宋体;..ì." w:eastAsia="黑体"/>
              </w:rPr>
              <w:t>第一章  总则</w:t>
            </w:r>
          </w:p>
          <w:p>
            <w:pPr>
              <w:pStyle w:val="Normal"/>
              <w:spacing w:lineRule="exact" w:line="460"/>
              <w:ind w:firstLine="3780"/>
              <w:rPr>
                <w:rFonts w:ascii="宋体;..ì." w:hAnsi="宋体;..ì." w:cs="宋体;..ì."/>
              </w:rPr>
            </w:pPr>
            <w:r>
              <w:rPr>
                <w:rFonts w:ascii="SimHei" w:hAnsi="SimHei" w:cs="宋体;..ì." w:eastAsia="黑体"/>
              </w:rPr>
              <w:t>第二章  培训类型</w:t>
            </w:r>
          </w:p>
          <w:p>
            <w:pPr>
              <w:pStyle w:val="Normal"/>
              <w:spacing w:lineRule="exact" w:line="460"/>
              <w:ind w:firstLine="3780"/>
              <w:rPr>
                <w:rFonts w:ascii="宋体;..ì." w:hAnsi="宋体;..ì." w:cs="宋体;..ì."/>
              </w:rPr>
            </w:pPr>
            <w:r>
              <w:rPr>
                <w:rFonts w:ascii="SimHei" w:hAnsi="SimHei" w:cs="宋体;..ì." w:eastAsia="黑体"/>
              </w:rPr>
              <w:t>第三章  职责分工</w:t>
            </w:r>
          </w:p>
          <w:p>
            <w:pPr>
              <w:pStyle w:val="Normal"/>
              <w:spacing w:lineRule="exact" w:line="460"/>
              <w:ind w:firstLine="3780"/>
              <w:rPr>
                <w:rFonts w:ascii="宋体;..ì." w:hAnsi="宋体;..ì." w:cs="宋体;..ì."/>
              </w:rPr>
            </w:pPr>
            <w:r>
              <w:rPr>
                <w:rFonts w:ascii="SimHei" w:hAnsi="SimHei" w:cs="宋体;..ì." w:eastAsia="黑体"/>
              </w:rPr>
              <w:t>第四章  培训计划</w:t>
            </w:r>
          </w:p>
          <w:p>
            <w:pPr>
              <w:pStyle w:val="Normal"/>
              <w:spacing w:lineRule="exact" w:line="460"/>
              <w:ind w:firstLine="3780"/>
              <w:rPr>
                <w:rFonts w:ascii="宋体;..ì." w:hAnsi="宋体;..ì." w:cs="宋体;..ì."/>
              </w:rPr>
            </w:pPr>
            <w:r>
              <w:rPr>
                <w:rFonts w:ascii="SimHei" w:hAnsi="SimHei" w:cs="宋体;..ì." w:eastAsia="黑体"/>
              </w:rPr>
              <w:t>第五章  培训项目实施</w:t>
            </w:r>
          </w:p>
          <w:p>
            <w:pPr>
              <w:pStyle w:val="Normal"/>
              <w:spacing w:lineRule="exact" w:line="460"/>
              <w:ind w:firstLine="3780"/>
              <w:rPr>
                <w:rFonts w:ascii="宋体;..ì." w:hAnsi="宋体;..ì." w:cs="宋体;..ì."/>
              </w:rPr>
            </w:pPr>
            <w:r>
              <w:rPr>
                <w:rFonts w:ascii="SimHei" w:hAnsi="SimHei" w:cs="宋体;..ì." w:eastAsia="黑体"/>
              </w:rPr>
              <w:t>第六章  课程开发</w:t>
            </w:r>
          </w:p>
          <w:p>
            <w:pPr>
              <w:pStyle w:val="Normal"/>
              <w:spacing w:lineRule="exact" w:line="460"/>
              <w:ind w:firstLine="3780"/>
              <w:rPr>
                <w:rFonts w:ascii="宋体;..ì." w:hAnsi="宋体;..ì." w:cs="宋体;..ì."/>
              </w:rPr>
            </w:pPr>
            <w:r>
              <w:rPr>
                <w:rFonts w:ascii="SimHei" w:hAnsi="SimHei" w:cs="宋体;..ì." w:eastAsia="黑体"/>
              </w:rPr>
              <w:t>第七章  培训师资</w:t>
            </w:r>
          </w:p>
          <w:p>
            <w:pPr>
              <w:pStyle w:val="Normal"/>
              <w:spacing w:lineRule="exact" w:line="460"/>
              <w:ind w:firstLine="3780"/>
              <w:rPr>
                <w:rFonts w:ascii="宋体;..ì." w:hAnsi="宋体;..ì." w:cs="宋体;..ì."/>
              </w:rPr>
            </w:pPr>
            <w:r>
              <w:rPr>
                <w:rFonts w:ascii="SimHei" w:hAnsi="SimHei" w:cs="宋体;..ì." w:eastAsia="黑体"/>
              </w:rPr>
              <w:t>第八章  培训评估</w:t>
            </w:r>
          </w:p>
          <w:p>
            <w:pPr>
              <w:pStyle w:val="Normal"/>
              <w:spacing w:lineRule="exact" w:line="460"/>
              <w:ind w:firstLine="3780"/>
              <w:rPr>
                <w:rFonts w:ascii="宋体;..ì." w:hAnsi="宋体;..ì." w:cs="宋体;..ì."/>
              </w:rPr>
            </w:pPr>
            <w:r>
              <w:rPr>
                <w:rFonts w:ascii="SimHei" w:hAnsi="SimHei" w:cs="宋体;..ì." w:eastAsia="黑体"/>
              </w:rPr>
              <w:t>第九章  培训激励</w:t>
            </w:r>
          </w:p>
          <w:p>
            <w:pPr>
              <w:pStyle w:val="Normal"/>
              <w:spacing w:lineRule="exact" w:line="460"/>
              <w:ind w:firstLine="3780"/>
              <w:rPr>
                <w:rFonts w:ascii="宋体;..ì." w:hAnsi="宋体;..ì." w:cs="宋体;..ì."/>
              </w:rPr>
            </w:pPr>
            <w:r>
              <w:rPr>
                <w:rFonts w:ascii="SimHei" w:hAnsi="SimHei" w:cs="宋体;..ì." w:eastAsia="黑体"/>
              </w:rPr>
              <w:t>第十章  培训记录</w:t>
            </w:r>
          </w:p>
          <w:p>
            <w:pPr>
              <w:pStyle w:val="Normal"/>
              <w:spacing w:lineRule="exact" w:line="460"/>
              <w:ind w:firstLine="3780"/>
              <w:rPr>
                <w:rFonts w:ascii="宋体;..ì." w:hAnsi="宋体;..ì." w:cs="宋体;..ì."/>
              </w:rPr>
            </w:pPr>
            <w:r>
              <w:rPr>
                <w:rFonts w:ascii="SimHei" w:hAnsi="SimHei" w:cs="宋体;..ì." w:eastAsia="黑体"/>
              </w:rPr>
              <w:t>第十一章  附则</w:t>
            </w:r>
          </w:p>
          <w:p>
            <w:pPr>
              <w:pStyle w:val="Heading1"/>
              <w:snapToGrid w:val="false"/>
              <w:spacing w:lineRule="exact" w:line="460" w:before="0" w:after="0"/>
              <w:ind w:firstLine="482"/>
              <w:rPr>
                <w:rFonts w:ascii="宋体;..ì." w:hAnsi="宋体;..ì." w:cs="宋体;..ì."/>
                <w:b/>
                <w:b/>
                <w:bCs/>
                <w:kern w:val="2"/>
                <w:sz w:val="24"/>
                <w:szCs w:val="24"/>
              </w:rPr>
            </w:pPr>
            <w:r>
              <w:rPr>
                <w:rFonts w:cs="宋体;..ì." w:ascii="SimHei" w:hAnsi="SimHei" w:eastAsia="黑体"/>
                <w:b/>
                <w:bCs/>
                <w:kern w:val="2"/>
                <w:sz w:val="24"/>
                <w:szCs w:val="24"/>
              </w:rPr>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第一章</w:t>
            </w:r>
            <w:r>
              <w:rPr>
                <w:rFonts w:ascii="SimHei" w:hAnsi="SimHei" w:cs="宋体;..ì." w:eastAsia="黑体"/>
                <w:kern w:val="2"/>
                <w:sz w:val="24"/>
                <w:szCs w:val="24"/>
              </w:rPr>
              <w:t xml:space="preserve">  </w:t>
            </w:r>
            <w:r>
              <w:rPr>
                <w:rFonts w:ascii="SimHei" w:hAnsi="SimHei" w:cs="宋体;..ì." w:eastAsia="黑体"/>
                <w:kern w:val="2"/>
                <w:sz w:val="24"/>
                <w:szCs w:val="24"/>
              </w:rPr>
              <w:t>总则</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第一条  目的意义</w:t>
            </w:r>
            <w:r>
              <w:rPr>
                <w:rFonts w:ascii="SimHei" w:hAnsi="SimHei" w:cs="宋体;..ì." w:eastAsia="黑体"/>
                <w:b w:val="false"/>
                <w:bCs w:val="false"/>
                <w:sz w:val="24"/>
                <w:szCs w:val="24"/>
              </w:rPr>
              <w:t xml:space="preserve">  </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为建立和健全公司培训管理体系，规范和有效地组织各类员工培训，推动学习型组织的建立，不断提高员工职业素养，以满足公司可持续经营发展的需要，同时为员工的职业发展提供引导与支持，特制定本办法。</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第二条  基本原则</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、以战略实施为重点：公司培训工作应以公司战略为导向，培训课程开发和培训项目设置都应以是否有利于战略实施为基本准则，不仅要解决当前工作问题，而且要着眼于未来战略实施；</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、以体系构建为重点：只有构建较为完善的培训体系，才能推动培训工作系统规划、持之以恒的开展，也才能最终取得成效；</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、以取得实效为重点：强调统筹安排，注重实效，应以公司有限的培训资源投入，带来尽可能大的业绩提升；</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、以岗位培训为重点：为了保证培训项目的成效，公司培训重点现阶段以岗位培训为主，鼓励以各种形式的岗位培训推动工作业绩的改进；</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5</w:t>
            </w:r>
            <w:r>
              <w:rPr>
                <w:rFonts w:ascii="SimHei" w:hAnsi="SimHei" w:cs="宋体;..ì." w:eastAsia="黑体"/>
              </w:rPr>
              <w:t>、以优秀员工为重点：公司将培训作为员工的一项福利，总体上，每个员工均有机会接受培训，但公司向骨干员工、优秀员工的培训资源投入给予政策倾斜，公司鼓励每个员工以优秀的工作业绩争取公司较多的培训投入；</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6</w:t>
            </w:r>
            <w:r>
              <w:rPr>
                <w:rFonts w:ascii="SimHei" w:hAnsi="SimHei" w:cs="宋体;..ì." w:eastAsia="黑体"/>
              </w:rPr>
              <w:t>、以权责对等为重点：员工拥有接受培训的权利，但同时也必须承担培训其他员工、传授自己知识和经验的责任。</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第三条  适用范围</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本管理办法适用于公司各种类型的员工培训管理。</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第二章</w:t>
            </w:r>
            <w:r>
              <w:rPr>
                <w:rFonts w:ascii="SimHei" w:hAnsi="SimHei" w:cs="宋体;..ì." w:eastAsia="黑体"/>
                <w:kern w:val="2"/>
                <w:sz w:val="24"/>
                <w:szCs w:val="24"/>
              </w:rPr>
              <w:t xml:space="preserve">  </w:t>
            </w:r>
            <w:r>
              <w:rPr>
                <w:rFonts w:ascii="SimHei" w:hAnsi="SimHei" w:cs="宋体;..ì." w:eastAsia="黑体"/>
                <w:kern w:val="2"/>
                <w:sz w:val="24"/>
                <w:szCs w:val="24"/>
              </w:rPr>
              <w:t>培训类型</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第四条  培训类别划分</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公司培训按照教学主办方、培训目的、培训对象、教授方式等划分为不同类型。</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第五条  按教学主办方划分</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按照教学主办方的不同，公司培训分为内部培训和外派培训：</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、内部培训：公司人力资源部统一组织实施的培训项目称为一级培训，各职能系统、各部门组织实施的培训项目称为二级培训；员工自主学习培训称为三级培训。</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、外派培训：</w:t>
            </w:r>
            <w:r>
              <w:rPr>
                <w:rFonts w:ascii="SimHei" w:hAnsi="SimHei" w:cs="宋体;..ì." w:eastAsia="黑体"/>
                <w:color w:val="000000"/>
              </w:rPr>
              <w:t>指公司为提升和拓展员工知识和技能，选送员工到外单位培训。</w:t>
            </w:r>
            <w:r>
              <w:rPr>
                <w:rFonts w:ascii="SimHei" w:hAnsi="SimHei" w:cs="宋体;..ì." w:eastAsia="黑体"/>
              </w:rPr>
              <w:t>外派培训按照时间长短分为：短期（一周之内）、中期（一周以上，一个月以内）、长期（一个月以上）。对中长期外派培训，员工必须与公司签订《培训协议》。</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关于外派培训的管理工作，公司另行颁布</w:t>
            </w:r>
            <w:r>
              <w:rPr>
                <w:rFonts w:ascii="SimHei" w:hAnsi="SimHei" w:cs="宋体;..ì." w:eastAsia="黑体"/>
                <w:b/>
                <w:bCs/>
              </w:rPr>
              <w:t>《外派培训实施细则》</w:t>
            </w:r>
            <w:r>
              <w:rPr>
                <w:rFonts w:ascii="SimHei" w:hAnsi="SimHei" w:cs="宋体;..ì." w:eastAsia="黑体"/>
              </w:rPr>
              <w:t>。</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第六条  按培训目的划分</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按照培训目的的不同，公司培训分为入司培训、岗前培训和岗位培训：</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、入司培训</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w:t>
            </w:r>
            <w:r>
              <w:rPr>
                <w:rFonts w:cs="宋体;..ì." w:ascii="SimHei" w:hAnsi="SimHei" w:eastAsia="黑体"/>
              </w:rPr>
              <w:t>1</w:t>
            </w:r>
            <w:r>
              <w:rPr>
                <w:rFonts w:ascii="SimHei" w:hAnsi="SimHei" w:cs="宋体;..ì." w:eastAsia="黑体"/>
              </w:rPr>
              <w:t>）目的：促使员工全面认识和了解公司，认同公司价值观。</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w:t>
            </w:r>
            <w:r>
              <w:rPr>
                <w:rFonts w:cs="宋体;..ì." w:ascii="SimHei" w:hAnsi="SimHei" w:eastAsia="黑体"/>
              </w:rPr>
              <w:t>2</w:t>
            </w:r>
            <w:r>
              <w:rPr>
                <w:rFonts w:ascii="SimHei" w:hAnsi="SimHei" w:cs="宋体;..ì." w:eastAsia="黑体"/>
              </w:rPr>
              <w:t>）内容：主要有学习企业概况、产品知识、规章制度、行为规范、企业价值观和主业务流程等，到各部门和车间实习以了解各部门职能、生产状况等，参观锅炉房；</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w:t>
            </w:r>
            <w:r>
              <w:rPr>
                <w:rFonts w:cs="宋体;..ì." w:ascii="SimHei" w:hAnsi="SimHei" w:eastAsia="黑体"/>
              </w:rPr>
              <w:t>3</w:t>
            </w:r>
            <w:r>
              <w:rPr>
                <w:rFonts w:ascii="SimHei" w:hAnsi="SimHei" w:cs="宋体;..ì." w:eastAsia="黑体"/>
              </w:rPr>
              <w:t>）形式：采取集中讲授、实习、参观等方式，是公司一级培训的重要组成部分，由人力资源部统一组织实施。</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w:t>
            </w:r>
            <w:r>
              <w:rPr>
                <w:rFonts w:cs="宋体;..ì." w:ascii="SimHei" w:hAnsi="SimHei" w:eastAsia="黑体"/>
              </w:rPr>
              <w:t>4</w:t>
            </w:r>
            <w:r>
              <w:rPr>
                <w:rFonts w:ascii="SimHei" w:hAnsi="SimHei" w:cs="宋体;..ì." w:eastAsia="黑体"/>
              </w:rPr>
              <w:t>）要求：新招聘员工进入公司，必须进行入司培训，培训合格方可录用。</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、岗前培训</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1</w:t>
            </w:r>
            <w:r>
              <w:rPr>
                <w:rFonts w:ascii="SimHei" w:hAnsi="SimHei" w:cs="宋体;..ì." w:eastAsia="黑体"/>
                <w:color w:val="000000"/>
              </w:rPr>
              <w:t>）目的：促使员工尽快了解、熟悉岗位，进入角色；</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2</w:t>
            </w:r>
            <w:r>
              <w:rPr>
                <w:rFonts w:ascii="SimHei" w:hAnsi="SimHei" w:cs="宋体;..ì." w:eastAsia="黑体"/>
                <w:color w:val="000000"/>
              </w:rPr>
              <w:t>）内容：主要有岗位职责、工作标准、作业规范和流程、专业基础知识等；</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3</w:t>
            </w:r>
            <w:r>
              <w:rPr>
                <w:rFonts w:ascii="SimHei" w:hAnsi="SimHei" w:cs="宋体;..ì." w:eastAsia="黑体"/>
                <w:color w:val="000000"/>
              </w:rPr>
              <w:t>）形式：主要采取部门集中学习和个人自学的形式，是公司二级培训和三级培训的重要组成部分，由所进入部门或职能体系组织实施，人力资源部指导和监督；</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4</w:t>
            </w:r>
            <w:r>
              <w:rPr>
                <w:rFonts w:ascii="SimHei" w:hAnsi="SimHei" w:cs="宋体;..ì." w:eastAsia="黑体"/>
                <w:color w:val="000000"/>
              </w:rPr>
              <w:t>）要求：员工进入新的工作岗位，必须进行培训，培训合格方可上岗。</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5</w:t>
            </w:r>
            <w:r>
              <w:rPr>
                <w:rFonts w:ascii="SimHei" w:hAnsi="SimHei" w:cs="宋体;..ì." w:eastAsia="黑体"/>
                <w:color w:val="000000"/>
              </w:rPr>
              <w:t>）进行岗前培训的几种情况如下：</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①</w:t>
            </w:r>
            <w:r>
              <w:rPr>
                <w:rFonts w:ascii="SimHei" w:hAnsi="SimHei" w:cs="宋体;..ì." w:eastAsia="黑体"/>
                <w:color w:val="000000"/>
              </w:rPr>
              <w:t xml:space="preserve">新进员工上岗前培训：新进员工入司培训合格并确定岗位后进行的培训； </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②</w:t>
            </w:r>
            <w:r>
              <w:rPr>
                <w:rFonts w:ascii="SimHei" w:hAnsi="SimHei" w:cs="宋体;..ì." w:eastAsia="黑体"/>
                <w:color w:val="000000"/>
              </w:rPr>
              <w:t xml:space="preserve">转岗培训：对已被批准转换岗位的员工进行的培训； </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③</w:t>
            </w:r>
            <w:r>
              <w:rPr>
                <w:rFonts w:ascii="SimHei" w:hAnsi="SimHei" w:cs="宋体;..ì." w:eastAsia="黑体"/>
                <w:color w:val="000000"/>
              </w:rPr>
              <w:t>晋升培训：对拟晋升员工进行的培训；</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④</w:t>
            </w:r>
            <w:r>
              <w:rPr>
                <w:rFonts w:ascii="SimHei" w:hAnsi="SimHei" w:cs="宋体;..ì." w:eastAsia="黑体"/>
                <w:color w:val="000000"/>
              </w:rPr>
              <w:t>岗位资格培训：对取得资格证方可上岗的员工进行的培训。</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3</w:t>
            </w:r>
            <w:r>
              <w:rPr>
                <w:rFonts w:ascii="SimHei" w:hAnsi="SimHei" w:cs="宋体;..ì." w:eastAsia="黑体"/>
                <w:color w:val="000000"/>
              </w:rPr>
              <w:t>、岗位培训</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1</w:t>
            </w:r>
            <w:r>
              <w:rPr>
                <w:rFonts w:ascii="SimHei" w:hAnsi="SimHei" w:cs="宋体;..ì." w:eastAsia="黑体"/>
                <w:color w:val="000000"/>
              </w:rPr>
              <w:t>）目的：促使在岗员工更好地履行岗位职责，系统掌握岗位所需的知识和技能，帮助员工更新知识、更新理念、掌握新技能、提高工作绩效、改善工作态度；</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2</w:t>
            </w:r>
            <w:r>
              <w:rPr>
                <w:rFonts w:ascii="SimHei" w:hAnsi="SimHei" w:cs="宋体;..ì." w:eastAsia="黑体"/>
                <w:color w:val="000000"/>
              </w:rPr>
              <w:t>）内容：主要是企业文化、岗位业务知识、技能、工作技巧和管理实务等；</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3</w:t>
            </w:r>
            <w:r>
              <w:rPr>
                <w:rFonts w:ascii="SimHei" w:hAnsi="SimHei" w:cs="宋体;..ì." w:eastAsia="黑体"/>
                <w:color w:val="000000"/>
              </w:rPr>
              <w:t>）形式：主要采取部门集中学习和个人自学的形式，是公司二级培训和三级培训的重要组成部分，由员工所在部门或职能体系组织实施，人力资源部指导和监督。对于需求面大或部门无力承担或重要度高的培训内容，列入人力资源部工作计划，作为公司一级培训的重要组成部分，由人力资源部统一组织集中内部实施或外派；</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w:t>
            </w:r>
            <w:r>
              <w:rPr>
                <w:rFonts w:cs="宋体;..ì." w:ascii="SimHei" w:hAnsi="SimHei" w:eastAsia="黑体"/>
                <w:color w:val="000000"/>
              </w:rPr>
              <w:t>4</w:t>
            </w:r>
            <w:r>
              <w:rPr>
                <w:rFonts w:ascii="SimHei" w:hAnsi="SimHei" w:cs="宋体;..ì." w:eastAsia="黑体"/>
                <w:color w:val="000000"/>
              </w:rPr>
              <w:t>）要求：岗位培训必须纳入各部门或职能体系工作计划和各级员工绩效合同，作为部门和员工绩效考核的重要项目，人力资源部进行引导、指导、协助和考核。</w:t>
            </w:r>
          </w:p>
          <w:p>
            <w:pPr>
              <w:pStyle w:val="Heading2"/>
              <w:spacing w:lineRule="exact" w:line="460" w:before="0" w:after="0"/>
              <w:ind w:firstLine="482"/>
              <w:rPr>
                <w:rFonts w:ascii="宋体;..ì." w:hAnsi="宋体;..ì." w:eastAsia="宋体;..ì." w:cs="宋体;..ì."/>
                <w:color w:val="000000"/>
                <w:sz w:val="24"/>
                <w:szCs w:val="24"/>
              </w:rPr>
            </w:pPr>
            <w:r>
              <w:rPr>
                <w:rFonts w:ascii="SimHei" w:hAnsi="SimHei" w:cs="宋体;..ì." w:eastAsia="黑体"/>
                <w:color w:val="000000"/>
                <w:sz w:val="24"/>
                <w:szCs w:val="24"/>
              </w:rPr>
              <w:t>第七条  按培训对象划分</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按照培训对象的不同，公司培训分为新员工培训和在职员工培训；</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1</w:t>
            </w:r>
            <w:r>
              <w:rPr>
                <w:rFonts w:ascii="SimHei" w:hAnsi="SimHei" w:cs="宋体;..ì." w:eastAsia="黑体"/>
                <w:color w:val="000000"/>
              </w:rPr>
              <w:t>、新员工培训，由人力资源部统一组织实施，培训期一年，分为入司培训、岗前培训和岗位培训三个阶段。新员工培训采取两种形式进行：集中培训和工作现场培训。</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color w:val="000000"/>
              </w:rPr>
              <w:t>关于新员工培训的管理工作，公司另行颁布</w:t>
            </w:r>
            <w:r>
              <w:rPr>
                <w:rFonts w:ascii="SimHei" w:hAnsi="SimHei" w:cs="宋体;..ì." w:eastAsia="黑体"/>
                <w:b/>
                <w:bCs/>
                <w:color w:val="000000"/>
              </w:rPr>
              <w:t>《新员工培训实施细则》</w:t>
            </w:r>
            <w:r>
              <w:rPr>
                <w:rFonts w:ascii="SimHei" w:hAnsi="SimHei" w:cs="宋体;..ì." w:eastAsia="黑体"/>
                <w:color w:val="000000"/>
              </w:rPr>
              <w:t>。</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2</w:t>
            </w:r>
            <w:r>
              <w:rPr>
                <w:rFonts w:ascii="SimHei" w:hAnsi="SimHei" w:cs="宋体;..ì." w:eastAsia="黑体"/>
                <w:color w:val="000000"/>
              </w:rPr>
              <w:t>、在职员工培训，分为岗前培训和岗位培训两种，可采取内部培训和外派培训形式，有个人自学、部门或职能体系组织和人力资源部组织等方式。</w:t>
            </w:r>
          </w:p>
          <w:p>
            <w:pPr>
              <w:pStyle w:val="Heading2"/>
              <w:spacing w:lineRule="exact" w:line="460" w:before="0" w:after="0"/>
              <w:ind w:firstLine="482"/>
              <w:rPr>
                <w:rFonts w:ascii="宋体;..ì." w:hAnsi="宋体;..ì." w:eastAsia="宋体;..ì." w:cs="宋体;..ì."/>
                <w:b w:val="false"/>
                <w:b w:val="false"/>
                <w:bCs w:val="false"/>
                <w:color w:val="000000"/>
                <w:sz w:val="24"/>
                <w:szCs w:val="24"/>
              </w:rPr>
            </w:pPr>
            <w:r>
              <w:rPr>
                <w:rFonts w:ascii="SimHei" w:hAnsi="SimHei" w:cs="宋体;..ì." w:eastAsia="黑体"/>
                <w:color w:val="000000"/>
                <w:sz w:val="24"/>
                <w:szCs w:val="24"/>
              </w:rPr>
              <w:t>第八条  按教授方式划分</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按照教授形式的不同，公司培训分为讲授式、研讨式、模拟式、自学式、导师制等形式。</w:t>
            </w:r>
          </w:p>
          <w:p>
            <w:pPr>
              <w:pStyle w:val="Normal"/>
              <w:tabs>
                <w:tab w:val="clear" w:pos="420"/>
                <w:tab w:val="left" w:pos="540" w:leader="none"/>
              </w:tabs>
              <w:snapToGrid w:val="false"/>
              <w:spacing w:lineRule="auto" w:line="360"/>
              <w:ind w:firstLine="420"/>
              <w:rPr>
                <w:rFonts w:ascii="宋体;..ì." w:hAnsi="宋体;..ì." w:cs="宋体;..ì."/>
              </w:rPr>
            </w:pPr>
            <w:r>
              <w:rPr>
                <w:rFonts w:ascii="SimHei" w:hAnsi="SimHei" w:cs="宋体;..ì." w:eastAsia="黑体"/>
              </w:rPr>
              <w:t>为加强公司人才梯队建设，充分开发和传承公司先进文化、技能和经验，迅速提高骨干员工的胜任能力，促进其快速成长，公司指定经验丰富、技能高超的资深管理者或技术专家，与列为重点培养对象的骨干员工和有发展潜力的员工，建立一对一契约性关系的培训机制，即导师制培训机制。</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关于导师制培训的工作，公司另行颁布</w:t>
            </w:r>
            <w:r>
              <w:rPr>
                <w:rFonts w:ascii="SimHei" w:hAnsi="SimHei" w:cs="宋体;..ì." w:eastAsia="黑体"/>
                <w:b/>
                <w:bCs/>
              </w:rPr>
              <w:t>《导师制培训实施细则》</w:t>
            </w:r>
            <w:r>
              <w:rPr>
                <w:rFonts w:ascii="SimHei" w:hAnsi="SimHei" w:cs="宋体;..ì." w:eastAsia="黑体"/>
              </w:rPr>
              <w:t>。</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第三章</w:t>
            </w:r>
            <w:r>
              <w:rPr>
                <w:rFonts w:ascii="SimHei" w:hAnsi="SimHei" w:cs="宋体;..ì." w:eastAsia="黑体"/>
                <w:kern w:val="2"/>
                <w:sz w:val="24"/>
                <w:szCs w:val="24"/>
              </w:rPr>
              <w:t xml:space="preserve">  </w:t>
            </w:r>
            <w:r>
              <w:rPr>
                <w:rFonts w:ascii="SimHei" w:hAnsi="SimHei" w:cs="宋体;..ì." w:eastAsia="黑体"/>
                <w:kern w:val="2"/>
                <w:sz w:val="24"/>
                <w:szCs w:val="24"/>
              </w:rPr>
              <w:t>职责分工</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第九条  人力资源委员会培训职责</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对公司培训体系建设、年度培训计划等培训工作重大问题进行研究，并提出建设性意见。</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第十条  各部门负责人</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公司各职能部门负责人，为本部门员工培训的直接责任主体，其主要职责有：</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、组织制订本部门培训计划；</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、积极配合人力资源部参与一级培训项目；</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、组织实施本部门负责的二级培训项目；</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、对本部门三级培训项目给予支持、引导和鼓励；</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5</w:t>
            </w:r>
            <w:r>
              <w:rPr>
                <w:rFonts w:ascii="SimHei" w:hAnsi="SimHei" w:cs="宋体;..ì." w:eastAsia="黑体"/>
              </w:rPr>
              <w:t>、督促、检查、落实培训成果向工作绩效的转化；</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6</w:t>
            </w:r>
            <w:r>
              <w:rPr>
                <w:rFonts w:ascii="SimHei" w:hAnsi="SimHei" w:cs="宋体;..ì." w:eastAsia="黑体"/>
              </w:rPr>
              <w:t>、负责本部门员工的培训考核；</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7</w:t>
            </w:r>
            <w:r>
              <w:rPr>
                <w:rFonts w:ascii="SimHei" w:hAnsi="SimHei" w:cs="宋体;..ì." w:eastAsia="黑体"/>
              </w:rPr>
              <w:t>、参与公司培训工作的评估；</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8</w:t>
            </w:r>
            <w:r>
              <w:rPr>
                <w:rFonts w:ascii="SimHei" w:hAnsi="SimHei" w:cs="宋体;..ì." w:eastAsia="黑体"/>
              </w:rPr>
              <w:t>、承担公司内部培训师</w:t>
            </w:r>
            <w:r>
              <w:rPr>
                <w:rFonts w:ascii="SimHei" w:hAnsi="SimHei" w:cs="宋体;..ì." w:eastAsia="黑体"/>
                <w:color w:val="000000"/>
              </w:rPr>
              <w:t>或</w:t>
            </w:r>
            <w:r>
              <w:rPr>
                <w:rFonts w:ascii="SimHei" w:hAnsi="SimHei" w:cs="宋体;..ì." w:eastAsia="黑体"/>
              </w:rPr>
              <w:t>导师的职责。</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第四章</w:t>
            </w:r>
            <w:r>
              <w:rPr>
                <w:rFonts w:ascii="SimHei" w:hAnsi="SimHei" w:cs="宋体;..ì." w:eastAsia="黑体"/>
                <w:kern w:val="2"/>
                <w:sz w:val="24"/>
                <w:szCs w:val="24"/>
              </w:rPr>
              <w:t xml:space="preserve">  </w:t>
            </w:r>
            <w:r>
              <w:rPr>
                <w:rFonts w:ascii="SimHei" w:hAnsi="SimHei" w:cs="宋体;..ì." w:eastAsia="黑体"/>
                <w:kern w:val="2"/>
                <w:sz w:val="24"/>
                <w:szCs w:val="24"/>
              </w:rPr>
              <w:t>培训计划</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第十一条  计划来源</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、公司人力资源规划；</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、公司业务重组需要；</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、任职资格条件（员工素质模型）；</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、绩效管理信息等。</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第十二条  需求分析</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、每年</w:t>
            </w:r>
            <w:r>
              <w:rPr>
                <w:rFonts w:cs="宋体;..ì." w:ascii="SimHei" w:hAnsi="SimHei" w:eastAsia="黑体"/>
              </w:rPr>
              <w:t>10</w:t>
            </w:r>
            <w:r>
              <w:rPr>
                <w:rFonts w:ascii="SimHei" w:hAnsi="SimHei" w:cs="宋体;..ì." w:eastAsia="黑体"/>
              </w:rPr>
              <w:t>月，人力资源部以</w:t>
            </w:r>
            <w:r>
              <w:rPr>
                <w:rFonts w:ascii="SimHei" w:hAnsi="SimHei" w:cs="宋体;..ì." w:eastAsia="黑体"/>
                <w:b/>
              </w:rPr>
              <w:t>《培训需求调查表》</w:t>
            </w:r>
            <w:r>
              <w:rPr>
                <w:rFonts w:ascii="SimHei" w:hAnsi="SimHei" w:cs="宋体;..ì." w:eastAsia="黑体"/>
              </w:rPr>
              <w:t>（附件</w:t>
            </w:r>
            <w:r>
              <w:rPr>
                <w:rFonts w:cs="宋体;..ì." w:ascii="SimHei" w:hAnsi="SimHei" w:eastAsia="黑体"/>
              </w:rPr>
              <w:t>1</w:t>
            </w:r>
            <w:r>
              <w:rPr>
                <w:rFonts w:ascii="SimHei" w:hAnsi="SimHei" w:cs="宋体;..ì." w:eastAsia="黑体"/>
              </w:rPr>
              <w:t>）形式向各部门进行培训需求调查；</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、各部门根据业务发展需要，分析业绩提升和解决问题的关键点、员工知识技能与岗位要求之间的差距点、员工现有工作状态与应有工作状态的差距点，填写《培训需求调查表》，反馈给人力资源部；</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、人力资源部整理归纳各部门反馈情况，形成《培训需求调查分析报告》。</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第十三条  年度培训工作计划</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人力资源部根据《培训需求调查分析报告》，编制《公司年度培训工作计划》草案，于</w:t>
            </w:r>
            <w:r>
              <w:rPr>
                <w:rFonts w:cs="宋体;..ì." w:ascii="SimHei" w:hAnsi="SimHei" w:eastAsia="黑体"/>
              </w:rPr>
              <w:t>11</w:t>
            </w:r>
            <w:r>
              <w:rPr>
                <w:rFonts w:ascii="SimHei" w:hAnsi="SimHei" w:cs="宋体;..ì." w:eastAsia="黑体"/>
              </w:rPr>
              <w:t>月</w:t>
            </w:r>
            <w:r>
              <w:rPr>
                <w:rFonts w:cs="宋体;..ì." w:ascii="SimHei" w:hAnsi="SimHei" w:eastAsia="黑体"/>
              </w:rPr>
              <w:t>30</w:t>
            </w:r>
            <w:r>
              <w:rPr>
                <w:rFonts w:ascii="SimHei" w:hAnsi="SimHei" w:cs="宋体;..ì." w:eastAsia="黑体"/>
              </w:rPr>
              <w:t>日前提交总经理审批。</w:t>
            </w:r>
          </w:p>
          <w:p>
            <w:pPr>
              <w:pStyle w:val="Normal"/>
              <w:tabs>
                <w:tab w:val="clear" w:pos="420"/>
                <w:tab w:val="left" w:pos="540" w:leader="none"/>
              </w:tabs>
              <w:spacing w:lineRule="exact" w:line="460"/>
              <w:ind w:firstLine="420"/>
              <w:rPr>
                <w:rFonts w:ascii="宋体;..ì." w:hAnsi="宋体;..ì." w:cs="宋体;..ì."/>
                <w:color w:val="000000"/>
              </w:rPr>
            </w:pPr>
            <w:r>
              <w:rPr>
                <w:rFonts w:ascii="SimHei" w:hAnsi="SimHei" w:cs="宋体;..ì." w:eastAsia="黑体"/>
              </w:rPr>
              <w:t>《</w:t>
            </w:r>
            <w:r>
              <w:rPr>
                <w:rFonts w:ascii="SimHei" w:hAnsi="SimHei" w:cs="宋体;..ì." w:eastAsia="黑体"/>
                <w:color w:val="000000"/>
              </w:rPr>
              <w:t>公司年度培训工作计划》主要内容：</w:t>
            </w:r>
          </w:p>
          <w:p>
            <w:pPr>
              <w:pStyle w:val="Normal"/>
              <w:spacing w:lineRule="exact" w:line="460"/>
              <w:ind w:firstLine="420"/>
              <w:rPr>
                <w:rFonts w:ascii="宋体;..ì." w:hAnsi="宋体;..ì." w:cs="宋体;..ì."/>
                <w:color w:val="FF0000"/>
              </w:rPr>
            </w:pPr>
            <w:r>
              <w:rPr>
                <w:rFonts w:cs="宋体;..ì." w:ascii="SimHei" w:hAnsi="SimHei" w:eastAsia="黑体"/>
                <w:color w:val="000000"/>
              </w:rPr>
              <w:t>1</w:t>
            </w:r>
            <w:r>
              <w:rPr>
                <w:rFonts w:ascii="SimHei" w:hAnsi="SimHei" w:cs="宋体;..ì." w:eastAsia="黑体"/>
                <w:color w:val="000000"/>
              </w:rPr>
              <w:t>、培训项目计划：年度培训项目计划安排，具体包括项目名称、培训目标、解决的主要问题、参训人员范围、培训组织者、责任人、大致培训时间、培训讲师、教授方式、培训评估重点、课程考试计划、各项费用开支的分解和总额计划等；</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、培训建设计划：包括培训机制和制度建设、培训课程开发、培训师资队伍建设、培训硬件设施建设等工作计划。</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第十四条  月度培训工作计划</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每月</w:t>
            </w:r>
            <w:r>
              <w:rPr>
                <w:rFonts w:cs="宋体;..ì." w:ascii="SimHei" w:hAnsi="SimHei" w:eastAsia="黑体"/>
              </w:rPr>
              <w:t>20</w:t>
            </w:r>
            <w:r>
              <w:rPr>
                <w:rFonts w:ascii="SimHei" w:hAnsi="SimHei" w:cs="宋体;..ì." w:eastAsia="黑体"/>
              </w:rPr>
              <w:t>日前，人力资源部根据《公司年度培训工作计划》和工作调整需要，分解制订下月度《月度培训项目计划表》和《月度培训建设计划》，报总经理审批后实施。</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第五章</w:t>
            </w:r>
            <w:r>
              <w:rPr>
                <w:rFonts w:ascii="SimHei" w:hAnsi="SimHei" w:cs="宋体;..ì." w:eastAsia="黑体"/>
                <w:kern w:val="2"/>
                <w:sz w:val="24"/>
                <w:szCs w:val="24"/>
              </w:rPr>
              <w:t xml:space="preserve">  </w:t>
            </w:r>
            <w:r>
              <w:rPr>
                <w:rFonts w:ascii="SimHei" w:hAnsi="SimHei" w:cs="宋体;..ì." w:eastAsia="黑体"/>
                <w:kern w:val="2"/>
                <w:sz w:val="24"/>
                <w:szCs w:val="24"/>
              </w:rPr>
              <w:t>培训项目实施</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第十五条  项目实施方案</w:t>
            </w:r>
          </w:p>
          <w:p>
            <w:pPr>
              <w:pStyle w:val="Normal"/>
              <w:spacing w:lineRule="exact" w:line="460"/>
              <w:ind w:firstLine="420"/>
              <w:rPr>
                <w:rFonts w:ascii="宋体;..ì." w:hAnsi="宋体;..ì." w:cs="宋体;..ì."/>
              </w:rPr>
            </w:pPr>
            <w:r>
              <w:rPr>
                <w:rFonts w:ascii="SimHei" w:hAnsi="SimHei" w:cs="宋体;..ì." w:eastAsia="黑体"/>
              </w:rPr>
              <w:t>培训项目进入实施环节之前，培训组织者负责制订项目实施方案，一级培训项目的实施方案需要经总经理或其授权人批准，二级培训项目的实施方案需要经主管副总经理批准。</w:t>
            </w:r>
          </w:p>
          <w:p>
            <w:pPr>
              <w:pStyle w:val="Normal"/>
              <w:spacing w:lineRule="exact" w:line="460"/>
              <w:ind w:firstLine="420"/>
              <w:rPr>
                <w:rFonts w:ascii="宋体;..ì." w:hAnsi="宋体;..ì." w:cs="宋体;..ì."/>
              </w:rPr>
            </w:pPr>
            <w:r>
              <w:rPr>
                <w:rFonts w:ascii="SimHei" w:hAnsi="SimHei" w:cs="宋体;..ì." w:eastAsia="黑体"/>
              </w:rPr>
              <w:t>项目实施方案的主要内容为：</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、培训项目名称；</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、培训目标、方法、课时、进程确定；</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、参训人员范围和人数；</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、培训教材、器材确定；</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5</w:t>
            </w:r>
            <w:r>
              <w:rPr>
                <w:rFonts w:ascii="SimHei" w:hAnsi="SimHei" w:cs="宋体;..ì." w:eastAsia="黑体"/>
              </w:rPr>
              <w:t>、培训时间、地点确定；</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6</w:t>
            </w:r>
            <w:r>
              <w:rPr>
                <w:rFonts w:ascii="SimHei" w:hAnsi="SimHei" w:cs="宋体;..ì." w:eastAsia="黑体"/>
              </w:rPr>
              <w:t>、培训组织者、培训师确定；</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7</w:t>
            </w:r>
            <w:r>
              <w:rPr>
                <w:rFonts w:ascii="SimHei" w:hAnsi="SimHei" w:cs="宋体;..ì." w:eastAsia="黑体"/>
              </w:rPr>
              <w:t>、培训评估方案确定；</w:t>
            </w:r>
          </w:p>
          <w:p>
            <w:pPr>
              <w:pStyle w:val="Normal"/>
              <w:spacing w:lineRule="exact" w:line="460"/>
              <w:ind w:firstLine="420"/>
              <w:rPr>
                <w:rFonts w:ascii="宋体;..ì." w:hAnsi="宋体;..ì." w:cs="宋体;..ì."/>
              </w:rPr>
            </w:pPr>
            <w:r>
              <w:rPr>
                <w:rFonts w:cs="宋体;..ì." w:ascii="SimHei" w:hAnsi="SimHei" w:eastAsia="黑体"/>
              </w:rPr>
              <w:t>8</w:t>
            </w:r>
            <w:r>
              <w:rPr>
                <w:rFonts w:ascii="SimHei" w:hAnsi="SimHei" w:cs="宋体;..ì." w:eastAsia="黑体"/>
              </w:rPr>
              <w:t>、各项费用开支的使用计划等。</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第十六条  培训组织</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培训项目实施过程中的组织工作，具体包括地点确定、现场布置、交通住宿、教材组织、过程控制等。</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、一级培训、员工外派培训、导师制培训，由人力资源部组织实施；</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2</w:t>
            </w:r>
            <w:r>
              <w:rPr>
                <w:rFonts w:ascii="SimHei" w:hAnsi="SimHei" w:cs="宋体;..ì." w:eastAsia="黑体"/>
                <w:color w:val="000000"/>
              </w:rPr>
              <w:t>、二级培训，由各部门和各职能系统负责人组织实施，人力资源部负责监督与指导；</w:t>
            </w:r>
          </w:p>
          <w:p>
            <w:pPr>
              <w:pStyle w:val="Normal"/>
              <w:tabs>
                <w:tab w:val="clear" w:pos="420"/>
                <w:tab w:val="left" w:pos="540" w:leader="none"/>
              </w:tabs>
              <w:spacing w:lineRule="exact" w:line="460"/>
              <w:ind w:firstLine="420"/>
              <w:rPr>
                <w:rFonts w:ascii="宋体;..ì." w:hAnsi="宋体;..ì." w:cs="宋体;..ì."/>
                <w:color w:val="000000"/>
              </w:rPr>
            </w:pPr>
            <w:r>
              <w:rPr>
                <w:rFonts w:cs="宋体;..ì." w:ascii="SimHei" w:hAnsi="SimHei" w:eastAsia="黑体"/>
                <w:color w:val="000000"/>
              </w:rPr>
              <w:t>3</w:t>
            </w:r>
            <w:r>
              <w:rPr>
                <w:rFonts w:ascii="SimHei" w:hAnsi="SimHei" w:cs="宋体;..ì." w:eastAsia="黑体"/>
                <w:color w:val="000000"/>
              </w:rPr>
              <w:t>、三级培训，由员工自主开展实施，公司建立相关机制给予引导与支持。</w:t>
            </w:r>
          </w:p>
          <w:p>
            <w:pPr>
              <w:pStyle w:val="Normal"/>
              <w:spacing w:lineRule="exact" w:line="460"/>
              <w:ind w:firstLine="420"/>
              <w:rPr>
                <w:rFonts w:ascii="宋体;..ì." w:hAnsi="宋体;..ì." w:cs="宋体;..ì."/>
              </w:rPr>
            </w:pPr>
            <w:r>
              <w:rPr>
                <w:rFonts w:ascii="SimHei" w:hAnsi="SimHei" w:cs="宋体;..ì." w:eastAsia="黑体"/>
              </w:rPr>
              <w:t>关于二、三级培训项目的管理与实施，公司另行颁布</w:t>
            </w:r>
            <w:r>
              <w:rPr>
                <w:rFonts w:ascii="SimHei" w:hAnsi="SimHei" w:cs="宋体;..ì." w:eastAsia="黑体"/>
                <w:b/>
                <w:bCs/>
              </w:rPr>
              <w:t>《二、三级培训实施细则》</w:t>
            </w:r>
            <w:r>
              <w:rPr>
                <w:rFonts w:ascii="SimHei" w:hAnsi="SimHei" w:cs="宋体;..ì." w:eastAsia="黑体"/>
              </w:rPr>
              <w:t>。</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第十七条  过程控制</w:t>
            </w:r>
          </w:p>
          <w:p>
            <w:pPr>
              <w:pStyle w:val="Normal"/>
              <w:spacing w:lineRule="exact" w:line="460"/>
              <w:ind w:firstLine="420"/>
              <w:rPr>
                <w:rFonts w:ascii="宋体;..ì." w:hAnsi="宋体;..ì." w:cs="宋体;..ì."/>
              </w:rPr>
            </w:pPr>
            <w:r>
              <w:rPr>
                <w:rFonts w:ascii="SimHei" w:hAnsi="SimHei" w:cs="宋体;..ì." w:eastAsia="黑体"/>
              </w:rPr>
              <w:t>培训过程控制，具体包括培训师控制与培训纪律控制两个方面：</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、培训师的控制：培训组织者及时收集学员反馈意见，与培训师进行协商，根据需要对培训内容、培训进度、培训方式、培训气氛进行适当的调整与控制；</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、培训纪律的控制：培训组织者为保证整体培训效果，对所有参训员工的出勤、课堂纪律等方面的管理和控制。</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关于教务管理和学员的管理，公司另行颁布</w:t>
            </w:r>
            <w:r>
              <w:rPr>
                <w:rFonts w:ascii="SimHei" w:hAnsi="SimHei" w:cs="宋体;..ì." w:eastAsia="黑体"/>
                <w:b/>
                <w:bCs/>
              </w:rPr>
              <w:t>《教务管理实施细则》</w:t>
            </w:r>
            <w:r>
              <w:rPr>
                <w:rFonts w:ascii="SimHei" w:hAnsi="SimHei" w:cs="宋体;..ì." w:eastAsia="黑体"/>
              </w:rPr>
              <w:t>和</w:t>
            </w:r>
            <w:r>
              <w:rPr>
                <w:rFonts w:ascii="SimHei" w:hAnsi="SimHei" w:cs="宋体;..ì." w:eastAsia="黑体"/>
                <w:b/>
                <w:bCs/>
              </w:rPr>
              <w:t>《学员管理实施细则》</w:t>
            </w:r>
            <w:r>
              <w:rPr>
                <w:rFonts w:ascii="SimHei" w:hAnsi="SimHei" w:cs="宋体;..ì." w:eastAsia="黑体"/>
              </w:rPr>
              <w:t>。</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第六章</w:t>
            </w:r>
            <w:r>
              <w:rPr>
                <w:rFonts w:ascii="SimHei" w:hAnsi="SimHei" w:cs="宋体;..ì." w:eastAsia="黑体"/>
                <w:kern w:val="2"/>
                <w:sz w:val="24"/>
                <w:szCs w:val="24"/>
              </w:rPr>
              <w:t xml:space="preserve">  </w:t>
            </w:r>
            <w:r>
              <w:rPr>
                <w:rFonts w:ascii="SimHei" w:hAnsi="SimHei" w:cs="宋体;..ì." w:eastAsia="黑体"/>
                <w:kern w:val="2"/>
                <w:sz w:val="24"/>
                <w:szCs w:val="24"/>
              </w:rPr>
              <w:t>课程开发</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第十八条  课程目录系统</w:t>
            </w:r>
          </w:p>
          <w:p>
            <w:pPr>
              <w:pStyle w:val="Normal"/>
              <w:spacing w:lineRule="exact" w:line="460"/>
              <w:ind w:firstLine="420"/>
              <w:rPr>
                <w:rFonts w:ascii="宋体;..ì." w:hAnsi="宋体;..ì." w:cs="宋体;..ì."/>
              </w:rPr>
            </w:pPr>
            <w:r>
              <w:rPr>
                <w:rFonts w:ascii="SimHei" w:hAnsi="SimHei" w:cs="宋体;..ì." w:eastAsia="黑体"/>
              </w:rPr>
              <w:t>公司培训项目的开展以课程形式实施，一个培训项目可以包含若干个课程。</w:t>
            </w:r>
          </w:p>
          <w:p>
            <w:pPr>
              <w:pStyle w:val="Normal"/>
              <w:spacing w:lineRule="exact" w:line="460"/>
              <w:ind w:firstLine="420"/>
              <w:rPr>
                <w:rFonts w:ascii="宋体;..ì." w:hAnsi="宋体;..ì." w:cs="宋体;..ì."/>
              </w:rPr>
            </w:pPr>
            <w:r>
              <w:rPr>
                <w:rFonts w:ascii="SimHei" w:hAnsi="SimHei" w:cs="宋体;..ì." w:eastAsia="黑体"/>
              </w:rPr>
              <w:t>人力资源部负责组织建立和完善公司培训课程目录系统，培训课程目录系统建立应着眼于以下五个方面：</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、整体业绩提升和文化建设的关键点；</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、培养企业后备人才梯队的前瞻点；</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、员工知识技能与岗位要求之间的差距点；</w:t>
            </w:r>
          </w:p>
          <w:p>
            <w:pPr>
              <w:pStyle w:val="Normal"/>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、各层各类员工不同职业发展阶段必备知识技能的侧重点；</w:t>
            </w:r>
          </w:p>
          <w:p>
            <w:pPr>
              <w:pStyle w:val="Normal"/>
              <w:spacing w:lineRule="exact" w:line="460"/>
              <w:ind w:firstLine="420"/>
              <w:rPr>
                <w:rFonts w:ascii="宋体;..ì." w:hAnsi="宋体;..ì." w:cs="宋体;..ì."/>
              </w:rPr>
            </w:pPr>
            <w:r>
              <w:rPr>
                <w:rFonts w:cs="宋体;..ì." w:ascii="SimHei" w:hAnsi="SimHei" w:eastAsia="黑体"/>
              </w:rPr>
              <w:t>5</w:t>
            </w:r>
            <w:r>
              <w:rPr>
                <w:rFonts w:ascii="SimHei" w:hAnsi="SimHei" w:cs="宋体;..ì." w:eastAsia="黑体"/>
              </w:rPr>
              <w:t>、企业资源投入与效益产出的均衡点等。</w:t>
            </w:r>
          </w:p>
          <w:p>
            <w:pPr>
              <w:pStyle w:val="Normal"/>
              <w:spacing w:lineRule="exact" w:line="460"/>
              <w:ind w:firstLine="420"/>
              <w:rPr>
                <w:rFonts w:ascii="宋体;..ì." w:hAnsi="宋体;..ì." w:cs="宋体;..ì."/>
              </w:rPr>
            </w:pPr>
            <w:r>
              <w:rPr>
                <w:rFonts w:ascii="SimHei" w:hAnsi="SimHei" w:cs="宋体;..ì." w:eastAsia="黑体"/>
              </w:rPr>
              <w:t>公司培训课程目录系统，经报总经理审批，每两年修订一次。</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第十九条  课程开发</w:t>
            </w:r>
          </w:p>
          <w:p>
            <w:pPr>
              <w:pStyle w:val="Normal"/>
              <w:spacing w:lineRule="exact" w:line="460"/>
              <w:ind w:firstLine="420"/>
              <w:rPr>
                <w:rFonts w:ascii="宋体;..ì." w:hAnsi="宋体;..ì." w:cs="宋体;..ì."/>
              </w:rPr>
            </w:pPr>
            <w:r>
              <w:rPr>
                <w:rFonts w:ascii="SimHei" w:hAnsi="SimHei" w:cs="宋体;..ì." w:eastAsia="黑体"/>
              </w:rPr>
              <w:t>人力资源部以公司培训课程目录系统为指导，分步组织实施课程开发工作；课程开发列入公司</w:t>
            </w:r>
            <w:r>
              <w:rPr>
                <w:rFonts w:ascii="SimHei" w:hAnsi="SimHei" w:cs="宋体;..ì." w:eastAsia="黑体"/>
                <w:b/>
                <w:bCs/>
              </w:rPr>
              <w:t>《年度培训建设计划》</w:t>
            </w:r>
            <w:r>
              <w:rPr>
                <w:rFonts w:ascii="SimHei" w:hAnsi="SimHei" w:cs="宋体;..ì." w:eastAsia="黑体"/>
              </w:rPr>
              <w:t>和</w:t>
            </w:r>
            <w:r>
              <w:rPr>
                <w:rFonts w:ascii="SimHei" w:hAnsi="SimHei" w:cs="宋体;..ì." w:eastAsia="黑体"/>
                <w:b/>
                <w:bCs/>
              </w:rPr>
              <w:t>《月度培训建设计划》</w:t>
            </w:r>
            <w:r>
              <w:rPr>
                <w:rFonts w:ascii="SimHei" w:hAnsi="SimHei" w:cs="宋体;..ì." w:eastAsia="黑体"/>
              </w:rPr>
              <w:t>。</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第二十条  开发组织</w:t>
            </w:r>
          </w:p>
          <w:p>
            <w:pPr>
              <w:pStyle w:val="Normal"/>
              <w:spacing w:lineRule="exact" w:line="460"/>
              <w:ind w:firstLine="420"/>
              <w:rPr>
                <w:rFonts w:ascii="宋体;..ì." w:hAnsi="宋体;..ì." w:cs="宋体;..ì."/>
              </w:rPr>
            </w:pPr>
            <w:r>
              <w:rPr>
                <w:rFonts w:ascii="SimHei" w:hAnsi="SimHei" w:cs="宋体;..ì." w:eastAsia="黑体"/>
              </w:rPr>
              <w:t>人力资源部负责课程开发组织工作，承担主要管理职责为：</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、课程立项，确定课程目标、教学大纲；</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、遴选、确定课程开发项目承担部门和主编人员；</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、下达课程开发任务书；</w:t>
            </w:r>
          </w:p>
          <w:p>
            <w:pPr>
              <w:pStyle w:val="Normal"/>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、定期检查课程开发工作进程，并进行阶段性总结；</w:t>
            </w:r>
          </w:p>
          <w:p>
            <w:pPr>
              <w:pStyle w:val="Normal"/>
              <w:spacing w:lineRule="exact" w:line="460"/>
              <w:ind w:firstLine="420"/>
              <w:rPr>
                <w:rFonts w:ascii="宋体;..ì." w:hAnsi="宋体;..ì." w:cs="宋体;..ì."/>
              </w:rPr>
            </w:pPr>
            <w:r>
              <w:rPr>
                <w:rFonts w:cs="宋体;..ì." w:ascii="SimHei" w:hAnsi="SimHei" w:eastAsia="黑体"/>
              </w:rPr>
              <w:t>5</w:t>
            </w:r>
            <w:r>
              <w:rPr>
                <w:rFonts w:ascii="SimHei" w:hAnsi="SimHei" w:cs="宋体;..ì." w:eastAsia="黑体"/>
              </w:rPr>
              <w:t>、组织评估验收工作：课程开发结束后，人力资源部组织相关部门进行开发成果验收，开发成果验收包括教学大纲、教材（讲义）、习题和试卷等方面的验收，课程通过验收才可进入实际培训环节。</w:t>
            </w:r>
          </w:p>
          <w:p>
            <w:pPr>
              <w:pStyle w:val="Normal"/>
              <w:spacing w:lineRule="exact" w:line="460"/>
              <w:ind w:firstLine="420"/>
              <w:rPr>
                <w:rFonts w:ascii="宋体;..ì." w:hAnsi="宋体;..ì." w:cs="宋体;..ì."/>
              </w:rPr>
            </w:pPr>
            <w:r>
              <w:rPr>
                <w:rFonts w:ascii="SimHei" w:hAnsi="SimHei" w:cs="宋体;..ì." w:eastAsia="黑体"/>
              </w:rPr>
              <w:t>关于培训课程开发的管理，公司另行颁布</w:t>
            </w:r>
            <w:r>
              <w:rPr>
                <w:rFonts w:ascii="SimHei" w:hAnsi="SimHei" w:cs="宋体;..ì." w:eastAsia="黑体"/>
                <w:b/>
                <w:bCs/>
              </w:rPr>
              <w:t>《课程开发实施细则》</w:t>
            </w:r>
            <w:r>
              <w:rPr>
                <w:rFonts w:ascii="SimHei" w:hAnsi="SimHei" w:cs="宋体;..ì." w:eastAsia="黑体"/>
              </w:rPr>
              <w:t>。</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第七章</w:t>
            </w:r>
            <w:r>
              <w:rPr>
                <w:rFonts w:ascii="SimHei" w:hAnsi="SimHei" w:cs="宋体;..ì." w:eastAsia="黑体"/>
                <w:kern w:val="2"/>
                <w:sz w:val="24"/>
                <w:szCs w:val="24"/>
              </w:rPr>
              <w:t xml:space="preserve">  </w:t>
            </w:r>
            <w:r>
              <w:rPr>
                <w:rFonts w:ascii="SimHei" w:hAnsi="SimHei" w:cs="宋体;..ì." w:eastAsia="黑体"/>
                <w:kern w:val="2"/>
                <w:sz w:val="24"/>
                <w:szCs w:val="24"/>
              </w:rPr>
              <w:t>培训师资</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第二十一条  培训师资</w:t>
            </w:r>
          </w:p>
          <w:p>
            <w:pPr>
              <w:pStyle w:val="Normal"/>
              <w:spacing w:lineRule="exact" w:line="460"/>
              <w:ind w:firstLine="420"/>
              <w:rPr>
                <w:rFonts w:ascii="宋体;..ì." w:hAnsi="宋体;..ì." w:cs="宋体;..ì."/>
              </w:rPr>
            </w:pPr>
            <w:r>
              <w:rPr>
                <w:rFonts w:ascii="SimHei" w:hAnsi="SimHei" w:cs="宋体;..ì." w:eastAsia="黑体"/>
              </w:rPr>
              <w:t>公司培训师资分为内部培训师、导师和外部培训师：</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、内部培训师，指承担公司培训课程讲授工作任务的员工，内部培训师从具备专业理论基础的优秀员工中选聘。</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、导师，指公司内部选聘的承担导师制辅导职责的资深管理者或技术专家。导师从高级员工、资深员工中选聘。</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、外部培训师，指接受公司委托，对公司员工进行课程讲授的外部讲师，外部培训师由人力资源部依据公司培训课程要求选聘，可以长期性，也可以一次性。</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第二十二条  内部培训师职责</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、承担相关课程的主要教学和讲授工作；</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、对承担的培训任务，负责课堂的教学组织工作；</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、备课，编写教案，批阅学员作业和试卷；</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、对学员的学习成果做出评价与鉴定；</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5</w:t>
            </w:r>
            <w:r>
              <w:rPr>
                <w:rFonts w:ascii="SimHei" w:hAnsi="SimHei" w:cs="宋体;..ì." w:eastAsia="黑体"/>
              </w:rPr>
              <w:t>、接受上级主管的工作安排，承担岗位培训工作；</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6</w:t>
            </w:r>
            <w:r>
              <w:rPr>
                <w:rFonts w:ascii="SimHei" w:hAnsi="SimHei" w:cs="宋体;..ì." w:eastAsia="黑体"/>
              </w:rPr>
              <w:t>、在相关课程开发中，承担编撰教学大纲、教材</w:t>
            </w:r>
            <w:r>
              <w:rPr>
                <w:rFonts w:cs="宋体;..ì." w:ascii="SimHei" w:hAnsi="SimHei" w:eastAsia="黑体"/>
              </w:rPr>
              <w:t>(</w:t>
            </w:r>
            <w:r>
              <w:rPr>
                <w:rFonts w:ascii="SimHei" w:hAnsi="SimHei" w:cs="宋体;..ì." w:eastAsia="黑体"/>
              </w:rPr>
              <w:t>讲义</w:t>
            </w:r>
            <w:r>
              <w:rPr>
                <w:rFonts w:cs="宋体;..ì." w:ascii="SimHei" w:hAnsi="SimHei" w:eastAsia="黑体"/>
              </w:rPr>
              <w:t>)</w:t>
            </w:r>
            <w:r>
              <w:rPr>
                <w:rFonts w:ascii="SimHei" w:hAnsi="SimHei" w:cs="宋体;..ì." w:eastAsia="黑体"/>
              </w:rPr>
              <w:t>、教学计划、习题与试题等工作。</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第二十三条  导师职责</w:t>
            </w:r>
          </w:p>
          <w:p>
            <w:pPr>
              <w:pStyle w:val="Normal"/>
              <w:tabs>
                <w:tab w:val="clear" w:pos="420"/>
                <w:tab w:val="left" w:pos="540" w:leader="none"/>
              </w:tabs>
              <w:snapToGrid w:val="false"/>
              <w:spacing w:lineRule="auto" w:line="360"/>
              <w:ind w:firstLine="473"/>
              <w:rPr>
                <w:rFonts w:ascii="宋体;..ì." w:hAnsi="宋体;..ì." w:cs="宋体;..ì."/>
              </w:rPr>
            </w:pPr>
            <w:r>
              <w:rPr>
                <w:rFonts w:cs="宋体;..ì." w:ascii="SimHei" w:hAnsi="SimHei" w:eastAsia="黑体"/>
              </w:rPr>
              <w:t>1</w:t>
            </w:r>
            <w:r>
              <w:rPr>
                <w:rFonts w:ascii="SimHei" w:hAnsi="SimHei" w:cs="宋体;..ì." w:eastAsia="黑体"/>
              </w:rPr>
              <w:t xml:space="preserve">、参与公司人才梯队培养计划和员工职业发展规划的制订和修订，提供咨询意见； </w:t>
            </w:r>
          </w:p>
          <w:p>
            <w:pPr>
              <w:pStyle w:val="Normal"/>
              <w:tabs>
                <w:tab w:val="clear" w:pos="420"/>
                <w:tab w:val="left" w:pos="540" w:leader="none"/>
              </w:tabs>
              <w:snapToGrid w:val="false"/>
              <w:spacing w:lineRule="auto" w:line="360"/>
              <w:ind w:firstLine="473"/>
              <w:rPr>
                <w:rFonts w:ascii="宋体;..ì." w:hAnsi="宋体;..ì." w:cs="宋体;..ì."/>
              </w:rPr>
            </w:pPr>
            <w:r>
              <w:rPr>
                <w:rFonts w:cs="宋体;..ì." w:ascii="SimHei" w:hAnsi="SimHei" w:eastAsia="黑体"/>
              </w:rPr>
              <w:t>2</w:t>
            </w:r>
            <w:r>
              <w:rPr>
                <w:rFonts w:ascii="SimHei" w:hAnsi="SimHei" w:cs="宋体;..ì." w:eastAsia="黑体"/>
              </w:rPr>
              <w:t>、掌握学员的思想状态、道德修养、基本素质、专业知识技能、受教育经历、工作经验、个人职业发展规划等情况；</w:t>
            </w:r>
          </w:p>
          <w:p>
            <w:pPr>
              <w:pStyle w:val="Normal"/>
              <w:tabs>
                <w:tab w:val="clear" w:pos="420"/>
                <w:tab w:val="left" w:pos="540" w:leader="none"/>
              </w:tabs>
              <w:snapToGrid w:val="false"/>
              <w:spacing w:lineRule="auto" w:line="360"/>
              <w:ind w:firstLine="473"/>
              <w:rPr>
                <w:rFonts w:ascii="宋体;..ì." w:hAnsi="宋体;..ì." w:cs="宋体;..ì."/>
              </w:rPr>
            </w:pPr>
            <w:r>
              <w:rPr>
                <w:rFonts w:cs="宋体;..ì." w:ascii="SimHei" w:hAnsi="SimHei" w:eastAsia="黑体"/>
              </w:rPr>
              <w:t>3</w:t>
            </w:r>
            <w:r>
              <w:rPr>
                <w:rFonts w:ascii="SimHei" w:hAnsi="SimHei" w:cs="宋体;..ì." w:eastAsia="黑体"/>
              </w:rPr>
              <w:t>、根据公司人才梯队培养计划和员工职业发展规划，与学员共同制订可行的个人发展阶段性方向、目标和辅导学习计划，并予以实施；</w:t>
            </w:r>
          </w:p>
          <w:p>
            <w:pPr>
              <w:pStyle w:val="Normal"/>
              <w:tabs>
                <w:tab w:val="clear" w:pos="420"/>
                <w:tab w:val="left" w:pos="540" w:leader="none"/>
              </w:tabs>
              <w:snapToGrid w:val="false"/>
              <w:spacing w:lineRule="auto" w:line="360"/>
              <w:ind w:firstLine="473"/>
              <w:rPr>
                <w:rFonts w:ascii="宋体;..ì." w:hAnsi="宋体;..ì." w:cs="宋体;..ì."/>
              </w:rPr>
            </w:pPr>
            <w:r>
              <w:rPr>
                <w:rFonts w:cs="宋体;..ì." w:ascii="SimHei" w:hAnsi="SimHei" w:eastAsia="黑体"/>
              </w:rPr>
              <w:t>4</w:t>
            </w:r>
            <w:r>
              <w:rPr>
                <w:rFonts w:ascii="SimHei" w:hAnsi="SimHei" w:cs="宋体;..ì." w:eastAsia="黑体"/>
              </w:rPr>
              <w:t>、对学员辅导学习计划的实施结果进行检查、评价和报告；</w:t>
            </w:r>
          </w:p>
          <w:p>
            <w:pPr>
              <w:pStyle w:val="Normal"/>
              <w:tabs>
                <w:tab w:val="clear" w:pos="420"/>
                <w:tab w:val="left" w:pos="540" w:leader="none"/>
              </w:tabs>
              <w:snapToGrid w:val="false"/>
              <w:spacing w:lineRule="auto" w:line="360"/>
              <w:ind w:firstLine="473"/>
              <w:rPr>
                <w:rFonts w:ascii="宋体;..ì." w:hAnsi="宋体;..ì." w:cs="宋体;..ì."/>
              </w:rPr>
            </w:pPr>
            <w:r>
              <w:rPr>
                <w:rFonts w:cs="宋体;..ì." w:ascii="SimHei" w:hAnsi="SimHei" w:eastAsia="黑体"/>
              </w:rPr>
              <w:t>5</w:t>
            </w:r>
            <w:r>
              <w:rPr>
                <w:rFonts w:ascii="SimHei" w:hAnsi="SimHei" w:cs="宋体;..ì." w:eastAsia="黑体"/>
              </w:rPr>
              <w:t>、针对学员学习、岗位工作中的问题提供意见和建议；</w:t>
            </w:r>
          </w:p>
          <w:p>
            <w:pPr>
              <w:pStyle w:val="Normal"/>
              <w:tabs>
                <w:tab w:val="clear" w:pos="420"/>
                <w:tab w:val="left" w:pos="540" w:leader="none"/>
              </w:tabs>
              <w:snapToGrid w:val="false"/>
              <w:spacing w:lineRule="auto" w:line="360"/>
              <w:ind w:firstLine="473"/>
              <w:rPr>
                <w:rFonts w:ascii="宋体;..ì." w:hAnsi="宋体;..ì." w:cs="宋体;..ì."/>
                <w:color w:val="FF0000"/>
              </w:rPr>
            </w:pPr>
            <w:r>
              <w:rPr>
                <w:rFonts w:cs="宋体;..ì." w:ascii="SimHei" w:hAnsi="SimHei" w:eastAsia="黑体"/>
              </w:rPr>
              <w:t>6</w:t>
            </w:r>
            <w:r>
              <w:rPr>
                <w:rFonts w:ascii="SimHei" w:hAnsi="SimHei" w:cs="宋体;..ì." w:eastAsia="黑体"/>
              </w:rPr>
              <w:t>、对学员的成长进行评估和测试等。</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第二十四条  外部培训师职责</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、接受公司委托，承担相关课程的主要教学和讲授工作；</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、向公司提供相关课程资料，具体包括教学大纲、教材</w:t>
            </w:r>
            <w:r>
              <w:rPr>
                <w:rFonts w:cs="宋体;..ì." w:ascii="SimHei" w:hAnsi="SimHei" w:eastAsia="黑体"/>
              </w:rPr>
              <w:t>(</w:t>
            </w:r>
            <w:r>
              <w:rPr>
                <w:rFonts w:ascii="SimHei" w:hAnsi="SimHei" w:cs="宋体;..ì." w:eastAsia="黑体"/>
              </w:rPr>
              <w:t>讲义</w:t>
            </w:r>
            <w:r>
              <w:rPr>
                <w:rFonts w:cs="宋体;..ì." w:ascii="SimHei" w:hAnsi="SimHei" w:eastAsia="黑体"/>
              </w:rPr>
              <w:t>)</w:t>
            </w:r>
            <w:r>
              <w:rPr>
                <w:rFonts w:ascii="SimHei" w:hAnsi="SimHei" w:cs="宋体;..ì." w:eastAsia="黑体"/>
              </w:rPr>
              <w:t>、教学计划、习题与试题等；</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、批阅学员作业和试卷；</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、对学员的学习成果做出评价与鉴定。</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第二十五条  师资管理</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为保证整体师资质量和素质，人力资源部负责建立一整套师资管理制度体系，具体包括：</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、师资选聘资格与条件；</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、师资报酬与激励政策；</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、师资考核与优胜劣汰；</w:t>
            </w:r>
          </w:p>
          <w:p>
            <w:pPr>
              <w:pStyle w:val="Normal"/>
              <w:tabs>
                <w:tab w:val="clear" w:pos="420"/>
                <w:tab w:val="left" w:pos="540" w:leader="none"/>
              </w:tabs>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、师资档案与培养计划。</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为了加强培训师资队伍的管理，公司另行颁布</w:t>
            </w:r>
            <w:r>
              <w:rPr>
                <w:rFonts w:ascii="SimHei" w:hAnsi="SimHei" w:cs="宋体;..ì." w:eastAsia="黑体"/>
                <w:b/>
                <w:bCs/>
              </w:rPr>
              <w:t>《导师制实施细则》</w:t>
            </w:r>
            <w:r>
              <w:rPr>
                <w:rFonts w:ascii="SimHei" w:hAnsi="SimHei" w:cs="宋体;..ì." w:eastAsia="黑体"/>
              </w:rPr>
              <w:t>和</w:t>
            </w:r>
            <w:r>
              <w:rPr>
                <w:rFonts w:ascii="SimHei" w:hAnsi="SimHei" w:cs="宋体;..ì." w:eastAsia="黑体"/>
                <w:b/>
                <w:bCs/>
              </w:rPr>
              <w:t>《培训师管理实施细则》</w:t>
            </w:r>
            <w:r>
              <w:rPr>
                <w:rFonts w:ascii="SimHei" w:hAnsi="SimHei" w:cs="宋体;..ì." w:eastAsia="黑体"/>
              </w:rPr>
              <w:t>。</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第八章</w:t>
            </w:r>
            <w:r>
              <w:rPr>
                <w:rFonts w:ascii="SimHei" w:hAnsi="SimHei" w:cs="宋体;..ì." w:eastAsia="黑体"/>
                <w:kern w:val="2"/>
                <w:sz w:val="24"/>
                <w:szCs w:val="24"/>
              </w:rPr>
              <w:t xml:space="preserve">  </w:t>
            </w:r>
            <w:r>
              <w:rPr>
                <w:rFonts w:ascii="SimHei" w:hAnsi="SimHei" w:cs="宋体;..ì." w:eastAsia="黑体"/>
                <w:kern w:val="2"/>
                <w:sz w:val="24"/>
                <w:szCs w:val="24"/>
              </w:rPr>
              <w:t>培训评估与考核</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第二十六条  三级评估体系</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公司培训评估体系包括三个层次：</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、一级评估：反应层评估，即在课程刚结束时，了解学员对培训项目的主观感觉或满意程度；</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、二级评估：学习层评估，即评估学员在知识、技能、态度方面的收获；</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、三级评估：绩效层评估，即评估培训带来工作绩效的变化及变化的程度。</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第二十七条  反应层评估</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每次内部培训结束后，人力资源部组织反应层评估，主要方式是问卷调查。所有参训人员都应填写</w:t>
            </w:r>
            <w:r>
              <w:rPr>
                <w:rFonts w:ascii="SimHei" w:hAnsi="SimHei" w:cs="宋体;..ì." w:eastAsia="黑体"/>
                <w:b/>
                <w:color w:val="000000"/>
              </w:rPr>
              <w:t>《培训反馈调查表》</w:t>
            </w:r>
            <w:r>
              <w:rPr>
                <w:rFonts w:ascii="SimHei" w:hAnsi="SimHei" w:cs="宋体;..ì." w:eastAsia="黑体"/>
                <w:color w:val="000000"/>
              </w:rPr>
              <w:t>（附件），</w:t>
            </w:r>
            <w:r>
              <w:rPr>
                <w:rFonts w:ascii="SimHei" w:hAnsi="SimHei" w:cs="宋体;..ì." w:eastAsia="黑体"/>
              </w:rPr>
              <w:t>反馈到人力资源部。</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反应层评估的主要内容有：培训的有用性、培训教师、培训方式和材料、培训环境和设施等。</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人力资源部应对反馈情况进行汇总分析，研究有助于或阻碍学员学习的方面，以便重新设计、改进培训项目。</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第二十八条  学习层评估</w:t>
            </w:r>
          </w:p>
          <w:p>
            <w:pPr>
              <w:pStyle w:val="Normal"/>
              <w:spacing w:lineRule="exact" w:line="460"/>
              <w:ind w:firstLine="420"/>
              <w:rPr>
                <w:rFonts w:ascii="宋体;..ì." w:hAnsi="宋体;..ì." w:cs="宋体;..ì."/>
              </w:rPr>
            </w:pPr>
            <w:r>
              <w:rPr>
                <w:rFonts w:ascii="SimHei" w:hAnsi="SimHei" w:cs="宋体;..ì." w:eastAsia="黑体"/>
              </w:rPr>
              <w:t>每次内部培训结束之后，对受训员工进行结业考试或测试，考试成绩计入员工培训考核评分；</w:t>
            </w:r>
          </w:p>
          <w:p>
            <w:pPr>
              <w:pStyle w:val="Normal"/>
              <w:spacing w:lineRule="exact" w:line="460"/>
              <w:ind w:firstLine="420"/>
              <w:rPr>
                <w:rFonts w:ascii="宋体;..ì." w:hAnsi="宋体;..ì." w:cs="宋体;..ì."/>
              </w:rPr>
            </w:pPr>
            <w:r>
              <w:rPr>
                <w:rFonts w:ascii="SimHei" w:hAnsi="SimHei" w:cs="宋体;..ì." w:eastAsia="黑体"/>
              </w:rPr>
              <w:t>若是外派培训，人力资源部应安排受训员工做分享宣讲，对分享宣讲的评估结果，计入外派培训员工的培训考核评分；对取证式的外派培训，人力资源部还应调查核实员工学习态度和学习成果。</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第二十九条  绩效层评估</w:t>
            </w:r>
          </w:p>
          <w:p>
            <w:pPr>
              <w:pStyle w:val="Normal"/>
              <w:tabs>
                <w:tab w:val="clear" w:pos="420"/>
                <w:tab w:val="left" w:pos="540" w:leader="none"/>
              </w:tabs>
              <w:spacing w:lineRule="exact" w:line="460"/>
              <w:ind w:firstLine="420"/>
              <w:rPr>
                <w:rFonts w:ascii="宋体;..ì." w:hAnsi="宋体;..ì." w:cs="宋体;..ì."/>
              </w:rPr>
            </w:pPr>
            <w:r>
              <w:rPr>
                <w:rFonts w:ascii="SimHei" w:hAnsi="SimHei" w:cs="宋体;..ì." w:eastAsia="黑体"/>
              </w:rPr>
              <w:t>培训绩效层评估按年度进行，主要采取问卷与座谈相结合、定性与定量相结合的方式，做出培训绩效层评估结论。</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、每年</w:t>
            </w:r>
            <w:r>
              <w:rPr>
                <w:rFonts w:cs="宋体;..ì." w:ascii="SimHei" w:hAnsi="SimHei" w:eastAsia="黑体"/>
              </w:rPr>
              <w:t>12</w:t>
            </w:r>
            <w:r>
              <w:rPr>
                <w:rFonts w:ascii="SimHei" w:hAnsi="SimHei" w:cs="宋体;..ì." w:eastAsia="黑体"/>
              </w:rPr>
              <w:t>月，由人力资源部统一向各部门发放《培训绩效评估调查问卷》（附件</w:t>
            </w:r>
            <w:r>
              <w:rPr>
                <w:rFonts w:cs="宋体;..ì." w:ascii="SimHei" w:hAnsi="SimHei" w:eastAsia="黑体"/>
              </w:rPr>
              <w:t>2</w:t>
            </w:r>
            <w:r>
              <w:rPr>
                <w:rFonts w:ascii="SimHei" w:hAnsi="SimHei" w:cs="宋体;..ì." w:eastAsia="黑体"/>
              </w:rPr>
              <w:t>）；</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、各部门对当年培训工作进行回顾总结，填写《培训绩效评估调查问卷》；</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、人力资源部汇总《培训绩效评估调查问卷》，撰写《年度培训绩效分析报告》；</w:t>
            </w:r>
          </w:p>
          <w:p>
            <w:pPr>
              <w:pStyle w:val="Normal"/>
              <w:spacing w:lineRule="exact" w:line="460"/>
              <w:ind w:firstLine="420"/>
              <w:rPr>
                <w:rFonts w:ascii="宋体;..ì." w:hAnsi="宋体;..ì." w:cs="宋体;..ì."/>
              </w:rPr>
            </w:pPr>
            <w:r>
              <w:rPr>
                <w:rFonts w:cs="宋体;..ì." w:ascii="SimHei" w:hAnsi="SimHei" w:eastAsia="黑体"/>
              </w:rPr>
              <w:t>4</w:t>
            </w:r>
            <w:r>
              <w:rPr>
                <w:rFonts w:ascii="SimHei" w:hAnsi="SimHei" w:cs="宋体;..ì." w:eastAsia="黑体"/>
              </w:rPr>
              <w:t>、人力资源委员会主持召开年度培训工作研讨会或培训总结会议，高层主管、各部门主管共同研讨和评议《年度培训绩效分析报告》，做出绩效层评估的总体意见，对下一年度培训工作提出建议。</w:t>
            </w:r>
          </w:p>
          <w:p>
            <w:pPr>
              <w:pStyle w:val="Heading2"/>
              <w:spacing w:lineRule="exact" w:line="460" w:before="0" w:after="0"/>
              <w:ind w:firstLine="482"/>
              <w:rPr>
                <w:rFonts w:ascii="宋体;..ì." w:hAnsi="宋体;..ì." w:eastAsia="宋体;..ì." w:cs="宋体;..ì."/>
                <w:b w:val="false"/>
                <w:b w:val="false"/>
                <w:bCs w:val="false"/>
                <w:color w:val="FF0000"/>
                <w:sz w:val="24"/>
                <w:szCs w:val="24"/>
              </w:rPr>
            </w:pPr>
            <w:r>
              <w:rPr>
                <w:rFonts w:ascii="SimHei" w:hAnsi="SimHei" w:cs="宋体;..ì." w:eastAsia="黑体"/>
                <w:color w:val="FF0000"/>
                <w:sz w:val="24"/>
                <w:szCs w:val="24"/>
              </w:rPr>
              <w:t>第三十条  培训组织者考核</w:t>
            </w:r>
          </w:p>
          <w:p>
            <w:pPr>
              <w:pStyle w:val="Normal"/>
              <w:spacing w:lineRule="exact" w:line="460"/>
              <w:ind w:firstLine="420"/>
              <w:rPr>
                <w:rFonts w:ascii="宋体;..ì." w:hAnsi="宋体;..ì." w:cs="宋体;..ì."/>
                <w:color w:val="FF0000"/>
              </w:rPr>
            </w:pPr>
            <w:r>
              <w:rPr>
                <w:rFonts w:ascii="SimHei" w:hAnsi="SimHei" w:cs="宋体;..ì." w:eastAsia="黑体"/>
                <w:color w:val="FF0000"/>
              </w:rPr>
              <w:t>公司统一组织的内部培训，组织者为人力资源部；各部门的内部培训，组织者为各部门负责人。</w:t>
            </w:r>
          </w:p>
          <w:p>
            <w:pPr>
              <w:pStyle w:val="Normal"/>
              <w:spacing w:lineRule="exact" w:line="460"/>
              <w:ind w:firstLine="420"/>
              <w:rPr>
                <w:rFonts w:ascii="宋体;..ì." w:hAnsi="宋体;..ì." w:cs="宋体;..ì."/>
                <w:color w:val="FF0000"/>
              </w:rPr>
            </w:pPr>
            <w:r>
              <w:rPr>
                <w:rFonts w:ascii="SimHei" w:hAnsi="SimHei" w:cs="宋体;..ì." w:eastAsia="黑体"/>
                <w:color w:val="FF0000"/>
              </w:rPr>
              <w:t>反应层评估和绩效层评估的结果，用来作为对培训组织者工作质量的考核，其中反应层评估是对单次培训项目的考核，绩效层评估是对年度培训工作成效的考核。培训组织者的考核结果，纳入培训组织者的当期月度绩效考核和年度绩效考核评分项目中。</w:t>
            </w:r>
          </w:p>
          <w:p>
            <w:pPr>
              <w:pStyle w:val="Heading2"/>
              <w:spacing w:lineRule="exact" w:line="460" w:before="0" w:after="0"/>
              <w:ind w:firstLine="482"/>
              <w:rPr>
                <w:rFonts w:ascii="宋体;..ì." w:hAnsi="宋体;..ì." w:eastAsia="宋体;..ì." w:cs="宋体;..ì."/>
                <w:b w:val="false"/>
                <w:b w:val="false"/>
                <w:bCs w:val="false"/>
                <w:color w:val="FF0000"/>
                <w:sz w:val="24"/>
                <w:szCs w:val="24"/>
              </w:rPr>
            </w:pPr>
            <w:r>
              <w:rPr>
                <w:rFonts w:ascii="SimHei" w:hAnsi="SimHei" w:cs="宋体;..ì." w:eastAsia="黑体"/>
                <w:color w:val="FF0000"/>
                <w:sz w:val="24"/>
                <w:szCs w:val="24"/>
              </w:rPr>
              <w:t>第三十一条  受训员工考核</w:t>
            </w:r>
          </w:p>
          <w:p>
            <w:pPr>
              <w:pStyle w:val="3"/>
              <w:snapToGrid w:val="false"/>
              <w:spacing w:lineRule="exact" w:line="460" w:before="30" w:after="0"/>
              <w:ind w:start="0" w:firstLine="480"/>
              <w:rPr>
                <w:rFonts w:cs="宋体;..ì."/>
                <w:color w:val="FF0000"/>
                <w:sz w:val="24"/>
                <w:szCs w:val="24"/>
              </w:rPr>
            </w:pPr>
            <w:r>
              <w:rPr>
                <w:rFonts w:cs="宋体;..ì." w:ascii="SimHei" w:hAnsi="SimHei" w:eastAsia="黑体"/>
                <w:color w:val="FF0000"/>
                <w:sz w:val="24"/>
                <w:szCs w:val="24"/>
              </w:rPr>
              <w:t>学习层评估是对受训员工学习质量的考核。员工月度绩效考核和年度绩效考核时，应将该员工当期参加培训项目的学习层评估得分，纳入当期绩效考核评分项目中。</w:t>
            </w:r>
          </w:p>
          <w:p>
            <w:pPr>
              <w:pStyle w:val="Heading2"/>
              <w:spacing w:lineRule="exact" w:line="460" w:before="0" w:after="0"/>
              <w:ind w:firstLine="482"/>
              <w:rPr>
                <w:rFonts w:ascii="宋体;..ì." w:hAnsi="宋体;..ì." w:eastAsia="宋体;..ì." w:cs="宋体;..ì."/>
                <w:b w:val="false"/>
                <w:b w:val="false"/>
                <w:bCs w:val="false"/>
                <w:color w:val="FF0000"/>
                <w:sz w:val="24"/>
                <w:szCs w:val="24"/>
              </w:rPr>
            </w:pPr>
            <w:r>
              <w:rPr>
                <w:rFonts w:ascii="SimHei" w:hAnsi="SimHei" w:cs="宋体;..ì." w:eastAsia="黑体"/>
                <w:color w:val="FF0000"/>
                <w:sz w:val="24"/>
                <w:szCs w:val="24"/>
              </w:rPr>
              <w:t>第三十二条  培训师考核</w:t>
            </w:r>
          </w:p>
          <w:p>
            <w:pPr>
              <w:pStyle w:val="Normal"/>
              <w:spacing w:lineRule="exact" w:line="460"/>
              <w:ind w:firstLine="420"/>
              <w:rPr>
                <w:rFonts w:ascii="宋体;..ì." w:hAnsi="宋体;..ì." w:cs="宋体;..ì."/>
                <w:color w:val="FF0000"/>
              </w:rPr>
            </w:pPr>
            <w:r>
              <w:rPr>
                <w:rFonts w:ascii="SimHei" w:hAnsi="SimHei" w:cs="宋体;..ì." w:eastAsia="黑体"/>
                <w:color w:val="FF0000"/>
              </w:rPr>
              <w:t>依据反应层评估，对培训师进行培训质量的考核评分。内部培训师培训质量的考核评分，纳入培训师当期月度绩效考核和年度绩效考核评分项目中；外部培训师培训质量的考核评分，应由人力资源部及时反馈给相关培训机构，同时记入外部培训机构管理档案中，以备今后甄选培训机构时作为参考资料。</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第九章</w:t>
            </w:r>
            <w:r>
              <w:rPr>
                <w:rFonts w:ascii="SimHei" w:hAnsi="SimHei" w:cs="宋体;..ì." w:eastAsia="黑体"/>
                <w:kern w:val="2"/>
                <w:sz w:val="24"/>
                <w:szCs w:val="24"/>
              </w:rPr>
              <w:t xml:space="preserve">  </w:t>
            </w:r>
            <w:r>
              <w:rPr>
                <w:rFonts w:ascii="SimHei" w:hAnsi="SimHei" w:cs="宋体;..ì." w:eastAsia="黑体"/>
                <w:kern w:val="2"/>
                <w:sz w:val="24"/>
                <w:szCs w:val="24"/>
              </w:rPr>
              <w:t>培训激励</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第三十三条  培训激励</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、培训激励，是公司激励体系的重要组成部分；</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、培训评估结果，作为员工绩效评价的重要依据之一。</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第三十四条  培训组织者激励</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、依据培训组织者工作质量考核结果，公司每年评选先进部门，并给予专题表彰；</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、依据培训组织者工作质量考核结果，排名倒数三名内的部门，取消该部门年度评优评先资格，取消该部门负责人岗位技能星级年度晋升资格和年度评优评先资格。</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第三十五条  受训员工激励</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、依据受训员工的学习质量考核，公司每年评选若干名“学习标兵”，并给予专题表彰，同时，优先评为年度优秀个人，优先晋升岗位技能星级；</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、建立培训积分制，员工培训积分作为岗位技能星级晋升、评优的重要依据，公司另行颁布</w:t>
            </w:r>
            <w:r>
              <w:rPr>
                <w:rFonts w:ascii="SimHei" w:hAnsi="SimHei" w:cs="宋体;..ì." w:eastAsia="黑体"/>
                <w:b/>
              </w:rPr>
              <w:t>《员工培训积分实施细则》</w:t>
            </w:r>
            <w:r>
              <w:rPr>
                <w:rFonts w:ascii="SimHei" w:hAnsi="SimHei" w:cs="宋体;..ì." w:eastAsia="黑体"/>
              </w:rPr>
              <w:t>；</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、根据单项培训的学习质量考核结果，给予排名前三名的受训员工一次性奖励；</w:t>
            </w:r>
          </w:p>
          <w:p>
            <w:pPr>
              <w:pStyle w:val="Normal"/>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、对于在培训中，违反培训纪律的，根据《学员行为守则》规定给予处罚；</w:t>
            </w:r>
          </w:p>
          <w:p>
            <w:pPr>
              <w:pStyle w:val="Normal"/>
              <w:spacing w:lineRule="exact" w:line="460"/>
              <w:ind w:firstLine="420"/>
              <w:rPr>
                <w:rFonts w:ascii="宋体;..ì." w:hAnsi="宋体;..ì." w:cs="宋体;..ì."/>
              </w:rPr>
            </w:pPr>
            <w:r>
              <w:rPr>
                <w:rFonts w:cs="宋体;..ì." w:ascii="SimHei" w:hAnsi="SimHei" w:eastAsia="黑体"/>
              </w:rPr>
              <w:t>5</w:t>
            </w:r>
            <w:r>
              <w:rPr>
                <w:rFonts w:ascii="SimHei" w:hAnsi="SimHei" w:cs="宋体;..ì." w:eastAsia="黑体"/>
              </w:rPr>
              <w:t>、受训员工的学习质量考核结果，作为当期绩效考核的重要评分指标。</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第三十六条  培训师激励</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、依据内部培训师的培训质量考核，公司每年评选若干名“优秀培训师”，并给予专题表彰，同时，优先评为年度优秀个人；</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、根据授课内容和授课质量等情况，公司建立内部培训师等级制度；</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、培训师培训质量考核不合格或不及格的，给予降低培训师级别、取消培训师资格等处理，相关规定详见《培训师管理实施细则》。</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第十章</w:t>
            </w:r>
            <w:r>
              <w:rPr>
                <w:rFonts w:ascii="SimHei" w:hAnsi="SimHei" w:cs="宋体;..ì." w:eastAsia="黑体"/>
                <w:kern w:val="2"/>
                <w:sz w:val="24"/>
                <w:szCs w:val="24"/>
              </w:rPr>
              <w:t xml:space="preserve">  </w:t>
            </w:r>
            <w:r>
              <w:rPr>
                <w:rFonts w:ascii="SimHei" w:hAnsi="SimHei" w:cs="宋体;..ì." w:eastAsia="黑体"/>
                <w:kern w:val="2"/>
                <w:sz w:val="24"/>
                <w:szCs w:val="24"/>
              </w:rPr>
              <w:t>培训档案</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第三十七条  培训档案</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、培训档案分为两大类：组织培训档案和员工培训档案；</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、组织培训档案，指公司开展员工培训工作过程的文件和资料；</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、员工培训档案，指员工参加培训的记录，是公司人力资源信息档案的重要组成部分。</w:t>
            </w:r>
          </w:p>
          <w:p>
            <w:pPr>
              <w:pStyle w:val="Heading2"/>
              <w:spacing w:lineRule="exact" w:line="460" w:before="0" w:after="0"/>
              <w:ind w:firstLine="482"/>
              <w:rPr>
                <w:rFonts w:ascii="宋体;..ì." w:hAnsi="宋体;..ì." w:eastAsia="宋体;..ì." w:cs="宋体;..ì."/>
                <w:b w:val="false"/>
                <w:b w:val="false"/>
                <w:bCs w:val="false"/>
                <w:sz w:val="24"/>
                <w:szCs w:val="24"/>
              </w:rPr>
            </w:pPr>
            <w:r>
              <w:rPr>
                <w:rFonts w:ascii="SimHei" w:hAnsi="SimHei" w:cs="宋体;..ì." w:eastAsia="黑体"/>
                <w:sz w:val="24"/>
                <w:szCs w:val="24"/>
              </w:rPr>
              <w:t>第三十八条  组织培训档案</w:t>
            </w:r>
          </w:p>
          <w:p>
            <w:pPr>
              <w:pStyle w:val="Normal"/>
              <w:spacing w:lineRule="exact" w:line="460"/>
              <w:ind w:firstLine="420"/>
              <w:rPr>
                <w:rFonts w:ascii="宋体;..ì." w:hAnsi="宋体;..ì." w:cs="宋体;..ì."/>
              </w:rPr>
            </w:pPr>
            <w:r>
              <w:rPr>
                <w:rFonts w:ascii="SimHei" w:hAnsi="SimHei" w:cs="宋体;..ì." w:eastAsia="黑体"/>
              </w:rPr>
              <w:t>人力资源部负责建立公司组织培训档案，主要内容有：</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、需求分析与计划：员工培训需求汇总表、培训需求调查分析报告、年度培训工作计划、月培训工作计划、年度培训绩效分析报告；</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、培训项目：课程开发、组织实施、培训评估、音像记录等相关资料；</w:t>
            </w:r>
          </w:p>
          <w:p>
            <w:pPr>
              <w:pStyle w:val="Normal"/>
              <w:spacing w:lineRule="exact" w:line="460"/>
              <w:ind w:firstLine="420"/>
              <w:rPr>
                <w:rFonts w:ascii="宋体;..ì." w:hAnsi="宋体;..ì." w:cs="宋体;..ì."/>
              </w:rPr>
            </w:pPr>
            <w:r>
              <w:rPr>
                <w:rFonts w:cs="宋体;..ì." w:ascii="SimHei" w:hAnsi="SimHei" w:eastAsia="黑体"/>
              </w:rPr>
              <w:t>3</w:t>
            </w:r>
            <w:r>
              <w:rPr>
                <w:rFonts w:ascii="SimHei" w:hAnsi="SimHei" w:cs="宋体;..ì." w:eastAsia="黑体"/>
              </w:rPr>
              <w:t>、培训课程：培训方案、教学大纲、教材（讲义）、习题和试卷等；</w:t>
            </w:r>
          </w:p>
          <w:p>
            <w:pPr>
              <w:pStyle w:val="Normal"/>
              <w:spacing w:lineRule="exact" w:line="460"/>
              <w:ind w:firstLine="420"/>
              <w:rPr>
                <w:rFonts w:ascii="宋体;..ì." w:hAnsi="宋体;..ì." w:cs="宋体;..ì."/>
              </w:rPr>
            </w:pPr>
            <w:r>
              <w:rPr>
                <w:rFonts w:cs="宋体;..ì." w:ascii="SimHei" w:hAnsi="SimHei" w:eastAsia="黑体"/>
              </w:rPr>
              <w:t>4</w:t>
            </w:r>
            <w:r>
              <w:rPr>
                <w:rFonts w:ascii="SimHei" w:hAnsi="SimHei" w:cs="宋体;..ì." w:eastAsia="黑体"/>
              </w:rPr>
              <w:t>、培训机构与师资：培训服务机构、内外部培训师的背景和历史记录等资料；</w:t>
            </w:r>
          </w:p>
          <w:p>
            <w:pPr>
              <w:pStyle w:val="Normal"/>
              <w:spacing w:lineRule="exact" w:line="460"/>
              <w:ind w:firstLine="420"/>
              <w:rPr>
                <w:rFonts w:ascii="宋体;..ì." w:hAnsi="宋体;..ì." w:cs="宋体;..ì."/>
              </w:rPr>
            </w:pPr>
            <w:r>
              <w:rPr>
                <w:rFonts w:cs="宋体;..ì." w:ascii="SimHei" w:hAnsi="SimHei" w:eastAsia="黑体"/>
              </w:rPr>
              <w:t>5</w:t>
            </w:r>
            <w:r>
              <w:rPr>
                <w:rFonts w:ascii="SimHei" w:hAnsi="SimHei" w:cs="宋体;..ì." w:eastAsia="黑体"/>
              </w:rPr>
              <w:t>、培训评估与激励：年度培训绩效评估调查问卷汇总表、年度培训绩效分析报告、各部门和员工个人培训激励记载等文件资料。</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第三十九条  员工培训档案</w:t>
            </w:r>
          </w:p>
          <w:p>
            <w:pPr>
              <w:pStyle w:val="Normal"/>
              <w:spacing w:lineRule="exact" w:line="460"/>
              <w:ind w:firstLine="420"/>
              <w:rPr>
                <w:rFonts w:ascii="宋体;..ì." w:hAnsi="宋体;..ì." w:cs="宋体;..ì."/>
              </w:rPr>
            </w:pPr>
            <w:r>
              <w:rPr>
                <w:rFonts w:ascii="SimHei" w:hAnsi="SimHei" w:cs="宋体;..ì." w:eastAsia="黑体"/>
              </w:rPr>
              <w:t>人力资源部建立员工个人培训档案，主要内容为员工个人历次参加培训项目、学习质量考核结果、培训激励等情况记载。</w:t>
            </w:r>
          </w:p>
          <w:p>
            <w:pPr>
              <w:pStyle w:val="Heading1"/>
              <w:spacing w:lineRule="exact" w:line="460" w:before="156" w:after="156"/>
              <w:ind w:firstLine="480"/>
              <w:rPr>
                <w:rFonts w:ascii="宋体;..ì." w:hAnsi="宋体;..ì." w:cs="宋体;..ì."/>
                <w:kern w:val="2"/>
                <w:sz w:val="24"/>
                <w:szCs w:val="24"/>
              </w:rPr>
            </w:pPr>
            <w:r>
              <w:rPr>
                <w:rFonts w:ascii="SimHei" w:hAnsi="SimHei" w:cs="宋体;..ì." w:eastAsia="黑体"/>
                <w:kern w:val="2"/>
                <w:sz w:val="24"/>
                <w:szCs w:val="24"/>
              </w:rPr>
              <w:t>第十一章</w:t>
            </w:r>
            <w:r>
              <w:rPr>
                <w:rFonts w:ascii="SimHei" w:hAnsi="SimHei" w:cs="宋体;..ì." w:eastAsia="黑体"/>
                <w:kern w:val="2"/>
                <w:sz w:val="24"/>
                <w:szCs w:val="24"/>
              </w:rPr>
              <w:t xml:space="preserve">  </w:t>
            </w:r>
            <w:r>
              <w:rPr>
                <w:rFonts w:ascii="SimHei" w:hAnsi="SimHei" w:cs="宋体;..ì." w:eastAsia="黑体"/>
                <w:kern w:val="2"/>
                <w:sz w:val="24"/>
                <w:szCs w:val="24"/>
              </w:rPr>
              <w:t>附则</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第四十条  制度关系</w:t>
            </w:r>
          </w:p>
          <w:p>
            <w:pPr>
              <w:pStyle w:val="Normal"/>
              <w:spacing w:lineRule="exact" w:line="460"/>
              <w:ind w:firstLine="420"/>
              <w:rPr>
                <w:rFonts w:ascii="宋体;..ì." w:hAnsi="宋体;..ì." w:cs="宋体;..ì."/>
              </w:rPr>
            </w:pPr>
            <w:r>
              <w:rPr>
                <w:rFonts w:cs="宋体;..ì." w:ascii="SimHei" w:hAnsi="SimHei" w:eastAsia="黑体"/>
              </w:rPr>
              <w:t>1</w:t>
            </w:r>
            <w:r>
              <w:rPr>
                <w:rFonts w:ascii="SimHei" w:hAnsi="SimHei" w:cs="宋体;..ì." w:eastAsia="黑体"/>
              </w:rPr>
              <w:t>、公司以前颁布的相关制度与本管理办法相抵触的，以本管理办法为准。</w:t>
            </w:r>
          </w:p>
          <w:p>
            <w:pPr>
              <w:pStyle w:val="Normal"/>
              <w:spacing w:lineRule="exact" w:line="460"/>
              <w:ind w:firstLine="420"/>
              <w:rPr>
                <w:rFonts w:ascii="宋体;..ì." w:hAnsi="宋体;..ì." w:cs="宋体;..ì."/>
              </w:rPr>
            </w:pPr>
            <w:r>
              <w:rPr>
                <w:rFonts w:cs="宋体;..ì." w:ascii="SimHei" w:hAnsi="SimHei" w:eastAsia="黑体"/>
              </w:rPr>
              <w:t>2</w:t>
            </w:r>
            <w:r>
              <w:rPr>
                <w:rFonts w:ascii="SimHei" w:hAnsi="SimHei" w:cs="宋体;..ì." w:eastAsia="黑体"/>
              </w:rPr>
              <w:t>、本管理办法相关支撑制度文件：</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1</w:t>
            </w:r>
            <w:r>
              <w:rPr>
                <w:rFonts w:ascii="SimHei" w:hAnsi="SimHei" w:cs="宋体;..ì." w:eastAsia="黑体"/>
              </w:rPr>
              <w:t>）《新员工培训实施细则》；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2</w:t>
            </w:r>
            <w:r>
              <w:rPr>
                <w:rFonts w:ascii="SimHei" w:hAnsi="SimHei" w:cs="宋体;..ì." w:eastAsia="黑体"/>
              </w:rPr>
              <w:t>）《外派培训实施细则》；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3</w:t>
            </w:r>
            <w:r>
              <w:rPr>
                <w:rFonts w:ascii="SimHei" w:hAnsi="SimHei" w:cs="宋体;..ì." w:eastAsia="黑体"/>
              </w:rPr>
              <w:t>）《课程开发实施细则》；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4</w:t>
            </w:r>
            <w:r>
              <w:rPr>
                <w:rFonts w:ascii="SimHei" w:hAnsi="SimHei" w:cs="宋体;..ì." w:eastAsia="黑体"/>
              </w:rPr>
              <w:t>）《导师制实施细则》；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5</w:t>
            </w:r>
            <w:r>
              <w:rPr>
                <w:rFonts w:ascii="SimHei" w:hAnsi="SimHei" w:cs="宋体;..ì." w:eastAsia="黑体"/>
              </w:rPr>
              <w:t>）《内部培训师管理实施细则》；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6</w:t>
            </w:r>
            <w:r>
              <w:rPr>
                <w:rFonts w:ascii="SimHei" w:hAnsi="SimHei" w:cs="宋体;..ì." w:eastAsia="黑体"/>
              </w:rPr>
              <w:t>）《教务管理实施细则》；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7</w:t>
            </w:r>
            <w:r>
              <w:rPr>
                <w:rFonts w:ascii="SimHei" w:hAnsi="SimHei" w:cs="宋体;..ì." w:eastAsia="黑体"/>
              </w:rPr>
              <w:t>）《学员行为守则》；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8</w:t>
            </w:r>
            <w:r>
              <w:rPr>
                <w:rFonts w:ascii="SimHei" w:hAnsi="SimHei" w:cs="宋体;..ì." w:eastAsia="黑体"/>
              </w:rPr>
              <w:t>）《二、三级培训实施细则》；</w:t>
            </w:r>
          </w:p>
          <w:p>
            <w:pPr>
              <w:pStyle w:val="Normal"/>
              <w:spacing w:lineRule="exact" w:line="460"/>
              <w:ind w:firstLine="420"/>
              <w:rPr>
                <w:rFonts w:ascii="宋体;..ì." w:hAnsi="宋体;..ì." w:cs="宋体;..ì."/>
              </w:rPr>
            </w:pPr>
            <w:r>
              <w:rPr>
                <w:rFonts w:ascii="SimHei" w:hAnsi="SimHei" w:cs="宋体;..ì." w:eastAsia="黑体"/>
              </w:rPr>
              <w:t>（</w:t>
            </w:r>
            <w:r>
              <w:rPr>
                <w:rFonts w:cs="宋体;..ì." w:ascii="SimHei" w:hAnsi="SimHei" w:eastAsia="黑体"/>
              </w:rPr>
              <w:t>9</w:t>
            </w:r>
            <w:r>
              <w:rPr>
                <w:rFonts w:ascii="SimHei" w:hAnsi="SimHei" w:cs="宋体;..ì." w:eastAsia="黑体"/>
              </w:rPr>
              <w:t>）《员工培训积分实施细则》等。</w:t>
            </w:r>
          </w:p>
          <w:p>
            <w:pPr>
              <w:pStyle w:val="Heading2"/>
              <w:spacing w:lineRule="exact" w:line="460" w:before="0" w:after="0"/>
              <w:ind w:firstLine="482"/>
              <w:rPr>
                <w:rFonts w:ascii="宋体;..ì." w:hAnsi="宋体;..ì." w:eastAsia="宋体;..ì." w:cs="宋体;..ì."/>
                <w:sz w:val="24"/>
                <w:szCs w:val="24"/>
              </w:rPr>
            </w:pPr>
            <w:r>
              <w:rPr>
                <w:rFonts w:ascii="SimHei" w:hAnsi="SimHei" w:cs="宋体;..ì." w:eastAsia="黑体"/>
                <w:sz w:val="24"/>
                <w:szCs w:val="24"/>
              </w:rPr>
              <w:t>第四十一条  附则</w:t>
            </w:r>
          </w:p>
          <w:p>
            <w:pPr>
              <w:pStyle w:val="Normal"/>
              <w:snapToGrid w:val="false"/>
              <w:spacing w:lineRule="exact" w:line="460"/>
              <w:ind w:firstLine="420"/>
              <w:rPr>
                <w:rFonts w:ascii="宋体;..ì." w:hAnsi="宋体;..ì." w:cs="宋体;..ì."/>
              </w:rPr>
            </w:pPr>
            <w:r>
              <w:rPr>
                <w:rFonts w:cs="宋体;..ì." w:ascii="SimHei" w:hAnsi="SimHei" w:eastAsia="黑体"/>
              </w:rPr>
              <w:t>1</w:t>
            </w:r>
            <w:r>
              <w:rPr>
                <w:rFonts w:ascii="SimHei" w:hAnsi="SimHei" w:cs="宋体;..ì." w:eastAsia="黑体"/>
              </w:rPr>
              <w:t>、本管理办法由人力资源部负责解释。</w:t>
            </w:r>
          </w:p>
          <w:p>
            <w:pPr>
              <w:pStyle w:val="Normal"/>
              <w:snapToGrid w:val="false"/>
              <w:spacing w:lineRule="exact" w:line="460"/>
              <w:ind w:firstLine="420"/>
              <w:rPr>
                <w:rFonts w:ascii="宋体;..ì." w:hAnsi="宋体;..ì." w:cs="宋体;..ì."/>
              </w:rPr>
            </w:pPr>
            <w:r>
              <w:rPr>
                <w:rFonts w:cs="宋体;..ì." w:ascii="SimHei" w:hAnsi="SimHei" w:eastAsia="黑体"/>
              </w:rPr>
              <w:t>2</w:t>
            </w:r>
            <w:r>
              <w:rPr>
                <w:rFonts w:ascii="SimHei" w:hAnsi="SimHei" w:cs="宋体;..ì." w:eastAsia="黑体"/>
              </w:rPr>
              <w:t>、人力资源部根据本管理办法实施情况以及工作需要，适时研究和提交相关修订完善草案。</w:t>
            </w:r>
          </w:p>
          <w:p>
            <w:pPr>
              <w:pStyle w:val="Normal"/>
              <w:snapToGrid w:val="false"/>
              <w:spacing w:lineRule="exact" w:line="460"/>
              <w:ind w:firstLine="420"/>
              <w:rPr>
                <w:rFonts w:ascii="宋体;..ì." w:hAnsi="宋体;..ì." w:cs="宋体;..ì."/>
              </w:rPr>
            </w:pPr>
            <w:r>
              <w:rPr>
                <w:rFonts w:cs="宋体;..ì." w:ascii="SimHei" w:hAnsi="SimHei" w:eastAsia="黑体"/>
              </w:rPr>
              <w:t>3</w:t>
            </w:r>
            <w:r>
              <w:rPr>
                <w:rFonts w:ascii="SimHei" w:hAnsi="SimHei" w:cs="宋体;..ì." w:eastAsia="黑体"/>
              </w:rPr>
              <w:t>、本管理办法自颁布之日起施行。</w:t>
            </w:r>
          </w:p>
          <w:p>
            <w:pPr>
              <w:pStyle w:val="Normal"/>
              <w:snapToGrid w:val="false"/>
              <w:spacing w:lineRule="exact" w:line="460"/>
              <w:ind w:firstLine="420"/>
              <w:rPr>
                <w:rFonts w:ascii="宋体;..ì." w:hAnsi="宋体;..ì." w:cs="宋体;..ì."/>
              </w:rPr>
            </w:pPr>
            <w:r>
              <w:rPr>
                <w:rFonts w:cs="宋体;..ì." w:ascii="SimHei" w:hAnsi="SimHei" w:eastAsia="黑体"/>
              </w:rPr>
            </w:r>
          </w:p>
          <w:p>
            <w:pPr>
              <w:pStyle w:val="Normal"/>
              <w:snapToGrid w:val="false"/>
              <w:spacing w:lineRule="exact" w:line="460"/>
              <w:ind w:firstLine="420"/>
              <w:rPr>
                <w:rFonts w:ascii="宋体;..ì." w:hAnsi="宋体;..ì." w:cs="宋体;..ì."/>
              </w:rPr>
            </w:pPr>
            <w:r>
              <w:rPr>
                <w:rFonts w:cs="宋体;..ì." w:ascii="SimHei" w:hAnsi="SimHei" w:eastAsia="黑体"/>
              </w:rPr>
            </w:r>
          </w:p>
          <w:p>
            <w:pPr>
              <w:pStyle w:val="Normal"/>
              <w:snapToGrid w:val="false"/>
              <w:spacing w:lineRule="exact" w:line="460"/>
              <w:ind w:firstLine="420"/>
              <w:jc w:val="center"/>
              <w:rPr>
                <w:rFonts w:ascii="宋体;..ì." w:hAnsi="宋体;..ì." w:cs="宋体;..ì."/>
              </w:rPr>
            </w:pPr>
            <w:r>
              <w:rPr>
                <w:rFonts w:cs="宋体;..ì." w:ascii="SimHei" w:hAnsi="SimHei" w:eastAsia="黑体"/>
              </w:rPr>
              <w:t xml:space="preserve">                                               </w:t>
            </w:r>
            <w:r>
              <w:rPr>
                <w:rFonts w:ascii="SimHei" w:hAnsi="SimHei" w:cs="宋体;..ì." w:eastAsia="黑体"/>
              </w:rPr>
              <w:t>武汉天元锅炉有限责任公司</w:t>
            </w:r>
          </w:p>
          <w:p>
            <w:pPr>
              <w:pStyle w:val="Normal"/>
              <w:snapToGrid w:val="false"/>
              <w:spacing w:lineRule="exact" w:line="460"/>
              <w:ind w:firstLine="420"/>
              <w:jc w:val="center"/>
              <w:rPr>
                <w:rFonts w:ascii="宋体;..ì." w:hAnsi="宋体;..ì." w:cs="宋体;..ì."/>
              </w:rPr>
            </w:pPr>
            <w:r>
              <w:rPr>
                <w:rFonts w:cs="宋体;..ì." w:ascii="SimHei" w:hAnsi="SimHei" w:eastAsia="黑体"/>
              </w:rPr>
              <w:t xml:space="preserve">                                                </w:t>
            </w:r>
            <w:r>
              <w:rPr>
                <w:rFonts w:ascii="SimHei" w:hAnsi="SimHei" w:cs="宋体;..ì." w:eastAsia="黑体"/>
              </w:rPr>
              <w:t>二○○六年    月    日</w:t>
            </w:r>
          </w:p>
        </w:tc>
      </w:tr>
      <w:tr>
        <w:trPr>
          <w:trHeight w:val="651" w:hRule="atLeast"/>
        </w:trPr>
        <w:tc>
          <w:tcPr>
            <w:tcW w:w="144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编制</w:t>
            </w:r>
            <w:r>
              <w:rPr>
                <w:rFonts w:cs="宋体;..ì." w:ascii="SimHei" w:hAnsi="SimHei" w:eastAsia="黑体"/>
                <w:kern w:val="0"/>
              </w:rPr>
              <w:t>/</w:t>
            </w:r>
            <w:r>
              <w:rPr>
                <w:rFonts w:ascii="SimHei" w:hAnsi="SimHei" w:cs="宋体;..ì." w:eastAsia="黑体"/>
                <w:kern w:val="0"/>
              </w:rPr>
              <w:t>日期</w:t>
            </w:r>
          </w:p>
        </w:tc>
        <w:tc>
          <w:tcPr>
            <w:tcW w:w="21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center"/>
              <w:rPr>
                <w:rFonts w:ascii="宋体;..ì." w:hAnsi="宋体;..ì." w:cs="宋体;..ì."/>
                <w:kern w:val="0"/>
              </w:rPr>
            </w:pPr>
            <w:r>
              <w:rPr>
                <w:rFonts w:cs="宋体;..ì." w:ascii="SimHei" w:hAnsi="SimHei" w:eastAsia="黑体"/>
                <w:kern w:val="0"/>
              </w:rPr>
            </w:r>
          </w:p>
        </w:tc>
        <w:tc>
          <w:tcPr>
            <w:tcW w:w="140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审核</w:t>
            </w:r>
            <w:r>
              <w:rPr>
                <w:rFonts w:cs="宋体;..ì." w:ascii="SimHei" w:hAnsi="SimHei" w:eastAsia="黑体"/>
                <w:kern w:val="0"/>
              </w:rPr>
              <w:t>/</w:t>
            </w:r>
            <w:r>
              <w:rPr>
                <w:rFonts w:ascii="SimHei" w:hAnsi="SimHei" w:cs="宋体;..ì." w:eastAsia="黑体"/>
                <w:kern w:val="0"/>
              </w:rPr>
              <w:t>日期</w:t>
            </w:r>
          </w:p>
        </w:tc>
        <w:tc>
          <w:tcPr>
            <w:tcW w:w="20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center"/>
              <w:rPr>
                <w:rFonts w:ascii="宋体;..ì." w:hAnsi="宋体;..ì." w:cs="宋体;..ì."/>
                <w:kern w:val="0"/>
              </w:rPr>
            </w:pPr>
            <w:r>
              <w:rPr>
                <w:rFonts w:cs="宋体;..ì." w:ascii="SimHei" w:hAnsi="SimHei" w:eastAsia="黑体"/>
                <w:kern w:val="0"/>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批准</w:t>
            </w:r>
            <w:r>
              <w:rPr>
                <w:rFonts w:cs="宋体;..ì." w:ascii="SimHei" w:hAnsi="SimHei" w:eastAsia="黑体"/>
                <w:kern w:val="0"/>
              </w:rPr>
              <w:t>/</w:t>
            </w:r>
            <w:r>
              <w:rPr>
                <w:rFonts w:ascii="SimHei" w:hAnsi="SimHei" w:cs="宋体;..ì." w:eastAsia="黑体"/>
                <w:kern w:val="0"/>
              </w:rPr>
              <w:t>日期</w:t>
            </w:r>
          </w:p>
        </w:tc>
        <w:tc>
          <w:tcPr>
            <w:tcW w:w="19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ì." w:hAnsi="宋体;..ì." w:cs="宋体;..ì."/>
                <w:kern w:val="0"/>
              </w:rPr>
            </w:pPr>
            <w:r>
              <w:rPr>
                <w:rFonts w:cs="宋体;..ì." w:ascii="SimHei" w:hAnsi="SimHei" w:eastAsia="黑体"/>
                <w:kern w:val="0"/>
              </w:rPr>
            </w:r>
          </w:p>
        </w:tc>
      </w:tr>
      <w:tr>
        <w:trPr>
          <w:trHeight w:val="607" w:hRule="atLeast"/>
        </w:trPr>
        <w:tc>
          <w:tcPr>
            <w:tcW w:w="144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修改标记</w:t>
            </w:r>
          </w:p>
        </w:tc>
        <w:tc>
          <w:tcPr>
            <w:tcW w:w="21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center"/>
              <w:rPr>
                <w:rFonts w:ascii="宋体;..ì." w:hAnsi="宋体;..ì." w:cs="宋体;..ì."/>
                <w:kern w:val="0"/>
              </w:rPr>
            </w:pPr>
            <w:r>
              <w:rPr>
                <w:rFonts w:cs="宋体;..ì." w:ascii="SimHei" w:hAnsi="SimHei" w:eastAsia="黑体"/>
                <w:kern w:val="0"/>
              </w:rPr>
            </w:r>
          </w:p>
        </w:tc>
        <w:tc>
          <w:tcPr>
            <w:tcW w:w="140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处    数</w:t>
            </w:r>
          </w:p>
        </w:tc>
        <w:tc>
          <w:tcPr>
            <w:tcW w:w="202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320"/>
              <w:jc w:val="center"/>
              <w:rPr>
                <w:rFonts w:ascii="宋体;..ì." w:hAnsi="宋体;..ì." w:cs="宋体;..ì."/>
                <w:kern w:val="0"/>
              </w:rPr>
            </w:pPr>
            <w:r>
              <w:rPr>
                <w:rFonts w:cs="宋体;..ì." w:ascii="SimHei" w:hAnsi="SimHei" w:eastAsia="黑体"/>
                <w:kern w:val="0"/>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320"/>
              <w:jc w:val="center"/>
              <w:rPr>
                <w:rFonts w:ascii="宋体;..ì." w:hAnsi="宋体;..ì." w:cs="宋体;..ì."/>
                <w:kern w:val="0"/>
              </w:rPr>
            </w:pPr>
            <w:r>
              <w:rPr>
                <w:rFonts w:ascii="SimHei" w:hAnsi="SimHei" w:cs="宋体;..ì." w:eastAsia="黑体"/>
                <w:kern w:val="0"/>
              </w:rPr>
              <w:t>修改</w:t>
            </w:r>
            <w:r>
              <w:rPr>
                <w:rFonts w:cs="宋体;..ì." w:ascii="SimHei" w:hAnsi="SimHei" w:eastAsia="黑体"/>
                <w:kern w:val="0"/>
              </w:rPr>
              <w:t>/</w:t>
            </w:r>
            <w:r>
              <w:rPr>
                <w:rFonts w:ascii="SimHei" w:hAnsi="SimHei" w:cs="宋体;..ì." w:eastAsia="黑体"/>
                <w:kern w:val="0"/>
              </w:rPr>
              <w:t>日期</w:t>
            </w:r>
          </w:p>
        </w:tc>
        <w:tc>
          <w:tcPr>
            <w:tcW w:w="199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ì." w:hAnsi="宋体;..ì." w:cs="宋体;..ì."/>
                <w:kern w:val="0"/>
              </w:rPr>
            </w:pPr>
            <w:r>
              <w:rPr>
                <w:rFonts w:cs="宋体;..ì." w:ascii="SimHei" w:hAnsi="SimHei" w:eastAsia="黑体"/>
                <w:kern w:val="0"/>
              </w:rPr>
            </w:r>
          </w:p>
        </w:tc>
      </w:tr>
    </w:tbl>
    <w:p>
      <w:pPr>
        <w:pStyle w:val="Normal"/>
        <w:spacing w:lineRule="exact" w:line="20"/>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sectPr>
      <w:headerReference w:type="default" r:id="rId3"/>
      <w:footerReference w:type="default" r:id="rId4"/>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Times New Roman">
    <w:charset w:val="00" w:characterSet="windows-1252"/>
    <w:family w:val="roman"/>
    <w:pitch w:val="variable"/>
  </w:font>
  <w:font w:name="宋体">
    <w:altName w:val="..ì."/>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5" w:color="000000"/>
      </w:pBd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ì." w:cs="Times New Roman;Times New Roman"/>
      <w:color w:val="auto"/>
      <w:kern w:val="2"/>
      <w:sz w:val="21"/>
      <w:szCs w:val="22"/>
      <w:lang w:val="en-US" w:eastAsia="zh-CN" w:bidi="ar-SA"/>
    </w:rPr>
  </w:style>
  <w:style w:type="paragraph" w:styleId="Heading1">
    <w:name w:val="Heading 1"/>
    <w:basedOn w:val="Normal"/>
    <w:next w:val="Normal"/>
    <w:qFormat/>
    <w:pPr>
      <w:keepLines/>
      <w:pageBreakBefore/>
      <w:numPr>
        <w:ilvl w:val="0"/>
        <w:numId w:val="1"/>
      </w:numPr>
      <w:spacing w:before="3000" w:after="0"/>
      <w:jc w:val="center"/>
      <w:outlineLvl w:val="0"/>
    </w:pPr>
    <w:rPr>
      <w:rFonts w:ascii="Times New Roman;Times New Roman" w:hAnsi="Times New Roman;Times New Roman" w:eastAsia="黑体;oúì." w:cs="Times New Roman;Times New Roman"/>
      <w:shadow/>
      <w:kern w:val="2"/>
      <w:sz w:val="84"/>
      <w:szCs w:val="20"/>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oúì." w:cs="Times New Roman;Times New Roman"/>
      <w:b/>
      <w:bCs/>
      <w:sz w:val="32"/>
      <w:szCs w:val="32"/>
    </w:rPr>
  </w:style>
  <w:style w:type="character" w:styleId="Style12">
    <w:name w:val="默认段落字体"/>
    <w:qFormat/>
    <w:rPr/>
  </w:style>
  <w:style w:type="character" w:styleId="1Char">
    <w:name w:val="标题 1 Char"/>
    <w:basedOn w:val="Style12"/>
    <w:qFormat/>
    <w:rPr>
      <w:rFonts w:ascii="Times New Roman;Times New Roman" w:hAnsi="Times New Roman;Times New Roman" w:eastAsia="黑体;oúì." w:cs="Times New Roman;Times New Roman"/>
      <w:shadow/>
      <w:kern w:val="2"/>
      <w:sz w:val="84"/>
      <w:szCs w:val="20"/>
    </w:rPr>
  </w:style>
  <w:style w:type="character" w:styleId="2Char">
    <w:name w:val="标题 2 Char"/>
    <w:basedOn w:val="Style12"/>
    <w:qFormat/>
    <w:rPr>
      <w:rFonts w:ascii="Arial" w:hAnsi="Arial" w:eastAsia="黑体;oúì." w:cs="Times New Roman;Times New Roman"/>
      <w:b/>
      <w:bCs/>
      <w:sz w:val="32"/>
      <w:szCs w:val="32"/>
    </w:rPr>
  </w:style>
  <w:style w:type="character" w:styleId="Char">
    <w:name w:val="页眉 Char"/>
    <w:basedOn w:val="Style12"/>
    <w:qFormat/>
    <w:rPr>
      <w:rFonts w:ascii="Times New Roman;Times New Roman" w:hAnsi="Times New Roman;Times New Roman" w:eastAsia="宋体;..ì." w:cs="Times New Roman;Times New Roman"/>
      <w:sz w:val="18"/>
      <w:szCs w:val="18"/>
    </w:rPr>
  </w:style>
  <w:style w:type="character" w:styleId="Char1">
    <w:name w:val="页脚 Char"/>
    <w:basedOn w:val="Style12"/>
    <w:qFormat/>
    <w:rPr>
      <w:rFonts w:ascii="Times New Roman;Times New Roman" w:hAnsi="Times New Roman;Times New Roman" w:eastAsia="宋体;..ì." w:cs="Times New Roman;Times New Roman"/>
      <w:sz w:val="18"/>
      <w:szCs w:val="18"/>
    </w:rPr>
  </w:style>
  <w:style w:type="character" w:styleId="PageNumber">
    <w:name w:val="Page Number"/>
    <w:basedOn w:val="Style12"/>
    <w:rPr/>
  </w:style>
  <w:style w:type="character" w:styleId="InternetLink">
    <w:name w:val="Hyperlink"/>
    <w:basedOn w:val="Style12"/>
    <w:rPr>
      <w:strike w:val="false"/>
      <w:dstrike w:val="false"/>
      <w:color w:val="0000FF"/>
      <w:u w:val="none"/>
    </w:rPr>
  </w:style>
  <w:style w:type="character" w:styleId="3Char">
    <w:name w:val="正文文本缩进 3 Char"/>
    <w:basedOn w:val="Style12"/>
    <w:qFormat/>
    <w:rPr>
      <w:rFonts w:ascii="宋体;..ì." w:hAnsi="宋体;..ì." w:eastAsia="宋体;..ì." w:cs="Times New Roman;Times New Roman"/>
      <w:sz w:val="18"/>
      <w:szCs w:val="20"/>
    </w:rPr>
  </w:style>
  <w:style w:type="character" w:styleId="Char2">
    <w:name w:val="批注框文本 Char"/>
    <w:basedOn w:val="Style12"/>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rFonts w:ascii="Times New Roman;Times New Roman" w:hAnsi="Times New Roman;Times New Roman" w:eastAsia="宋体;..ì." w:cs="Times New Roman;Times New Roman"/>
      <w:sz w:val="18"/>
      <w:szCs w:val="18"/>
    </w:rPr>
  </w:style>
  <w:style w:type="paragraph" w:styleId="Footer">
    <w:name w:val="Footer"/>
    <w:basedOn w:val="Normal"/>
    <w:pPr>
      <w:tabs>
        <w:tab w:val="clear" w:pos="420"/>
        <w:tab w:val="center" w:pos="4153" w:leader="none"/>
        <w:tab w:val="right" w:pos="8306" w:leader="none"/>
      </w:tabs>
      <w:snapToGrid w:val="false"/>
      <w:jc w:val="start"/>
    </w:pPr>
    <w:rPr>
      <w:rFonts w:ascii="Times New Roman;Times New Roman" w:hAnsi="Times New Roman;Times New Roman" w:eastAsia="宋体;..ì." w:cs="Times New Roman;Times New Roman"/>
      <w:sz w:val="18"/>
      <w:szCs w:val="18"/>
    </w:rPr>
  </w:style>
  <w:style w:type="paragraph" w:styleId="3">
    <w:name w:val="正文文本缩进 3"/>
    <w:basedOn w:val="Normal"/>
    <w:qFormat/>
    <w:pPr>
      <w:spacing w:before="30" w:after="30"/>
      <w:ind w:start="1260" w:hanging="835"/>
    </w:pPr>
    <w:rPr>
      <w:rFonts w:ascii="宋体;..ì." w:hAnsi="宋体;..ì." w:eastAsia="宋体;..ì." w:cs="Times New Roman;Times New Roman"/>
      <w:sz w:val="18"/>
      <w:szCs w:val="20"/>
    </w:rPr>
  </w:style>
  <w:style w:type="paragraph" w:styleId="Style13">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2013-11-05T15:21:00Z</dcterms:created>
  <dc:creator>huangzb</dc:creator>
  <dc:description/>
  <dc:language>en-US</dc:language>
  <cp:lastModifiedBy>huangzb</cp:lastModifiedBy>
  <dcterms:modified xsi:type="dcterms:W3CDTF">2013-11-05T15:24:00Z</dcterms:modified>
  <cp:revision>1</cp:revision>
  <dc:subject/>
  <dc:title/>
</cp:coreProperties>
</file>