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黑体" w:hAnsi="黑体" w:eastAsia="黑体" w:cs="黑体"/>
          <w:b/>
          <w:b/>
          <w:sz w:val="44"/>
          <w:szCs w:val="44"/>
        </w:rPr>
      </w:pPr>
      <w:r>
        <w:rPr>
          <w:rFonts w:ascii="SimHei" w:hAnsi="SimHei" w:cs="黑体" w:eastAsia="黑体"/>
          <w:b/>
          <w:sz w:val="44"/>
          <w:szCs w:val="44"/>
        </w:rPr>
        <w:t>部门工作交接管理规范</w:t>
      </w:r>
      <w:r>
        <w:rPr>
          <w:rFonts w:ascii="SimHei" w:hAnsi="SimHei" w:cs="黑体" w:eastAsia="黑体"/>
          <w:b/>
          <w:sz w:val="24"/>
          <w:szCs w:val="24"/>
        </w:rPr>
        <w:t xml:space="preserve">  </w:t>
      </w:r>
    </w:p>
    <w:p>
      <w:pPr>
        <w:pStyle w:val="Normal"/>
        <w:spacing w:lineRule="auto" w:line="360"/>
        <w:jc w:val="center"/>
        <w:rPr>
          <w:rFonts w:ascii="黑体" w:hAnsi="黑体" w:eastAsia="黑体" w:cs="黑体"/>
          <w:b/>
          <w:b/>
          <w:sz w:val="24"/>
          <w:szCs w:val="24"/>
        </w:rPr>
      </w:pPr>
      <w:r>
        <w:rPr>
          <w:rFonts w:eastAsia="黑体" w:cs="黑体" w:ascii="SimHei" w:hAnsi="SimHei"/>
          <w:b/>
          <w:sz w:val="24"/>
          <w:szCs w:val="24"/>
        </w:rPr>
      </w:r>
    </w:p>
    <w:p>
      <w:pPr>
        <w:pStyle w:val="Normal"/>
        <w:spacing w:lineRule="auto" w:line="360"/>
        <w:ind w:firstLine="480"/>
        <w:rPr>
          <w:rFonts w:ascii="黑体" w:hAnsi="黑体" w:eastAsia="黑体" w:cs="黑体"/>
          <w:sz w:val="24"/>
          <w:szCs w:val="24"/>
        </w:rPr>
      </w:pPr>
      <w:r>
        <w:rPr>
          <w:rFonts w:ascii="SimHei" w:hAnsi="SimHei" w:cs="黑体" w:eastAsia="黑体"/>
          <w:sz w:val="24"/>
          <w:szCs w:val="24"/>
        </w:rPr>
        <w:t>为了加强公司员工在工作交接过程中的管理，保持交接岗位工作的有效链接，维护公司利益，特制定如下规范：</w:t>
      </w:r>
    </w:p>
    <w:p>
      <w:pPr>
        <w:pStyle w:val="Normal"/>
        <w:spacing w:lineRule="auto" w:line="360"/>
        <w:ind w:firstLine="480"/>
        <w:rPr>
          <w:rFonts w:ascii="黑体" w:hAnsi="黑体" w:eastAsia="黑体" w:cs="黑体"/>
          <w:sz w:val="24"/>
          <w:szCs w:val="24"/>
        </w:rPr>
      </w:pPr>
      <w:r>
        <w:rPr>
          <w:rFonts w:eastAsia="黑体" w:cs="黑体" w:ascii="SimHei" w:hAnsi="SimHei"/>
          <w:sz w:val="24"/>
          <w:szCs w:val="24"/>
        </w:rPr>
      </w:r>
    </w:p>
    <w:p>
      <w:pPr>
        <w:pStyle w:val="Normal"/>
        <w:numPr>
          <w:ilvl w:val="0"/>
          <w:numId w:val="1"/>
        </w:numPr>
        <w:snapToGrid w:val="false"/>
        <w:spacing w:lineRule="exact" w:line="520"/>
        <w:rPr>
          <w:rFonts w:ascii="黑体" w:hAnsi="黑体" w:eastAsia="黑体" w:cs="黑体"/>
          <w:b/>
          <w:b/>
          <w:sz w:val="28"/>
          <w:szCs w:val="28"/>
        </w:rPr>
      </w:pPr>
      <w:r>
        <w:rPr>
          <w:rFonts w:ascii="SimHei" w:hAnsi="SimHei" w:cs="黑体" w:eastAsia="黑体"/>
          <w:b/>
          <w:sz w:val="28"/>
          <w:szCs w:val="28"/>
        </w:rPr>
        <w:t>交接前准备</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1.1</w:t>
      </w:r>
      <w:r>
        <w:rPr>
          <w:rFonts w:eastAsia="黑体" w:cs="黑体" w:ascii="SimHei" w:hAnsi="SimHei"/>
          <w:sz w:val="24"/>
          <w:szCs w:val="24"/>
        </w:rPr>
        <w:t xml:space="preserve"> </w:t>
      </w:r>
      <w:r>
        <w:rPr>
          <w:rFonts w:ascii="SimHei" w:hAnsi="SimHei" w:cs="黑体" w:eastAsia="黑体"/>
          <w:sz w:val="24"/>
          <w:szCs w:val="24"/>
        </w:rPr>
        <w:t>及时处理好尚未完成的工作。</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1.2</w:t>
      </w:r>
      <w:r>
        <w:rPr>
          <w:rFonts w:eastAsia="黑体" w:cs="黑体" w:ascii="SimHei" w:hAnsi="SimHei"/>
          <w:sz w:val="24"/>
          <w:szCs w:val="24"/>
        </w:rPr>
        <w:t xml:space="preserve"> </w:t>
      </w:r>
      <w:r>
        <w:rPr>
          <w:rFonts w:ascii="SimHei" w:hAnsi="SimHei" w:cs="黑体" w:eastAsia="黑体"/>
          <w:sz w:val="24"/>
          <w:szCs w:val="24"/>
        </w:rPr>
        <w:t>整理好应移交的各项文件、资料和工具，对未了事项写出书面材料，并注明尚未完成的原因和剩余的工作内容以及完成时间；</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1.3</w:t>
      </w:r>
      <w:r>
        <w:rPr>
          <w:rFonts w:eastAsia="黑体" w:cs="黑体" w:ascii="SimHei" w:hAnsi="SimHei"/>
          <w:sz w:val="24"/>
          <w:szCs w:val="24"/>
        </w:rPr>
        <w:t xml:space="preserve"> </w:t>
      </w:r>
      <w:r>
        <w:rPr>
          <w:rFonts w:ascii="SimHei" w:hAnsi="SimHei" w:cs="黑体" w:eastAsia="黑体"/>
          <w:sz w:val="24"/>
          <w:szCs w:val="24"/>
        </w:rPr>
        <w:t>工作交接中涉及到物料的必须列明物料清单作为交接附件；</w:t>
      </w:r>
    </w:p>
    <w:p>
      <w:pPr>
        <w:pStyle w:val="Normal"/>
        <w:snapToGrid w:val="false"/>
        <w:spacing w:lineRule="exact" w:line="520"/>
        <w:ind w:start="120" w:hanging="0"/>
        <w:rPr>
          <w:rFonts w:ascii="黑体" w:hAnsi="黑体" w:eastAsia="黑体" w:cs="黑体"/>
          <w:sz w:val="24"/>
          <w:szCs w:val="24"/>
        </w:rPr>
      </w:pPr>
      <w:r>
        <w:rPr>
          <w:rFonts w:eastAsia="黑体" w:cs="黑体" w:ascii="SimHei" w:hAnsi="SimHei"/>
          <w:b/>
          <w:sz w:val="24"/>
          <w:szCs w:val="24"/>
        </w:rPr>
        <w:t xml:space="preserve">1.4 </w:t>
      </w:r>
      <w:r>
        <w:rPr>
          <w:rFonts w:ascii="SimHei" w:hAnsi="SimHei" w:cs="黑体" w:eastAsia="黑体"/>
          <w:sz w:val="24"/>
          <w:szCs w:val="24"/>
        </w:rPr>
        <w:t>所有准备工作由移交人负责完成。编制移交清单，列明移交内容（见附件一）</w:t>
      </w:r>
    </w:p>
    <w:p>
      <w:pPr>
        <w:pStyle w:val="Normal"/>
        <w:snapToGrid w:val="false"/>
        <w:spacing w:lineRule="exact" w:line="520"/>
        <w:ind w:start="120" w:hanging="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rPr>
          <w:rFonts w:ascii="黑体" w:hAnsi="黑体" w:eastAsia="黑体" w:cs="黑体"/>
          <w:sz w:val="24"/>
          <w:szCs w:val="24"/>
        </w:rPr>
      </w:pPr>
      <w:r>
        <w:rPr>
          <w:rFonts w:eastAsia="黑体" w:cs="黑体" w:ascii="SimHei" w:hAnsi="SimHei"/>
          <w:b/>
          <w:sz w:val="28"/>
          <w:szCs w:val="28"/>
        </w:rPr>
        <w:t>2.</w:t>
      </w:r>
      <w:r>
        <w:rPr>
          <w:rFonts w:eastAsia="黑体" w:cs="黑体" w:ascii="SimHei" w:hAnsi="SimHei"/>
          <w:sz w:val="24"/>
          <w:szCs w:val="24"/>
        </w:rPr>
        <w:t xml:space="preserve"> </w:t>
      </w:r>
      <w:r>
        <w:rPr>
          <w:rFonts w:ascii="SimHei" w:hAnsi="SimHei" w:cs="黑体" w:eastAsia="黑体"/>
          <w:b/>
          <w:sz w:val="28"/>
          <w:szCs w:val="28"/>
        </w:rPr>
        <w:t>交接内容</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2.1</w:t>
      </w:r>
      <w:r>
        <w:rPr>
          <w:rFonts w:eastAsia="黑体" w:cs="黑体" w:ascii="SimHei" w:hAnsi="SimHei"/>
          <w:sz w:val="24"/>
          <w:szCs w:val="24"/>
        </w:rPr>
        <w:t xml:space="preserve"> </w:t>
      </w:r>
      <w:r>
        <w:rPr>
          <w:rFonts w:ascii="SimHei" w:hAnsi="SimHei" w:cs="黑体" w:eastAsia="黑体"/>
          <w:sz w:val="24"/>
          <w:szCs w:val="24"/>
        </w:rPr>
        <w:t>公章类：公司行政公章、法人章、部门专用章及其他各类公章。</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2.2</w:t>
      </w:r>
      <w:r>
        <w:rPr>
          <w:rFonts w:eastAsia="黑体" w:cs="黑体" w:ascii="SimHei" w:hAnsi="SimHei"/>
          <w:sz w:val="24"/>
          <w:szCs w:val="24"/>
        </w:rPr>
        <w:t xml:space="preserve"> </w:t>
      </w:r>
      <w:r>
        <w:rPr>
          <w:rFonts w:ascii="SimHei" w:hAnsi="SimHei" w:cs="黑体" w:eastAsia="黑体"/>
          <w:sz w:val="24"/>
          <w:szCs w:val="24"/>
        </w:rPr>
        <w:t>财务类（含电子版）：凭证、账簿、报表、财务分析、银行对账单和预算各类表格以及现金等。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2.3</w:t>
      </w:r>
      <w:r>
        <w:rPr>
          <w:rFonts w:eastAsia="黑体" w:cs="黑体" w:ascii="SimHei" w:hAnsi="SimHei"/>
          <w:sz w:val="24"/>
          <w:szCs w:val="24"/>
        </w:rPr>
        <w:t xml:space="preserve"> </w:t>
      </w:r>
      <w:r>
        <w:rPr>
          <w:rFonts w:ascii="SimHei" w:hAnsi="SimHei" w:cs="黑体" w:eastAsia="黑体"/>
          <w:sz w:val="24"/>
          <w:szCs w:val="24"/>
        </w:rPr>
        <w:t>文书类（含电子版）：各级文件、领导讲活、会议纪要、工作计划、工作总结、通知、报告、请示、批复、函等。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 xml:space="preserve">2.4 </w:t>
      </w:r>
      <w:r>
        <w:rPr>
          <w:rFonts w:ascii="SimHei" w:hAnsi="SimHei" w:cs="黑体" w:eastAsia="黑体"/>
          <w:sz w:val="24"/>
          <w:szCs w:val="24"/>
        </w:rPr>
        <w:t>人力资源类（含电子版）：工资帐页、各项保险的情况、公司人员结构、管理平台账号及密码、对外联络单位及负责人和主要业务等。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2.5</w:t>
      </w:r>
      <w:r>
        <w:rPr>
          <w:rFonts w:eastAsia="黑体" w:cs="黑体" w:ascii="SimHei" w:hAnsi="SimHei"/>
          <w:sz w:val="24"/>
          <w:szCs w:val="24"/>
        </w:rPr>
        <w:t xml:space="preserve"> </w:t>
      </w:r>
      <w:r>
        <w:rPr>
          <w:rFonts w:ascii="SimHei" w:hAnsi="SimHei" w:cs="黑体" w:eastAsia="黑体"/>
          <w:sz w:val="24"/>
          <w:szCs w:val="24"/>
        </w:rPr>
        <w:t>业务资料类（含电子版）：专题材料、各类年终报表、经济合同、借款合同、统计资料、会议材料、贷款担保书、检查资料、调查资料、录音资料、各种规章制度、管理办法等。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2.6</w:t>
      </w:r>
      <w:r>
        <w:rPr>
          <w:rFonts w:eastAsia="黑体" w:cs="黑体" w:ascii="SimHei" w:hAnsi="SimHei"/>
          <w:sz w:val="24"/>
          <w:szCs w:val="24"/>
        </w:rPr>
        <w:t xml:space="preserve"> </w:t>
      </w:r>
      <w:r>
        <w:rPr>
          <w:rFonts w:ascii="SimHei" w:hAnsi="SimHei" w:cs="黑体" w:eastAsia="黑体"/>
          <w:sz w:val="24"/>
          <w:szCs w:val="24"/>
        </w:rPr>
        <w:t>票据类：未使用的空白票据（支票、行政事业收费收据、结算凭证、其他收据等）、已使用过的存根、票据领购发放登记簿。</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2.7</w:t>
      </w:r>
      <w:r>
        <w:rPr>
          <w:rFonts w:eastAsia="黑体" w:cs="黑体" w:ascii="SimHei" w:hAnsi="SimHei"/>
          <w:sz w:val="24"/>
          <w:szCs w:val="24"/>
        </w:rPr>
        <w:t xml:space="preserve"> </w:t>
      </w:r>
      <w:r>
        <w:rPr>
          <w:rFonts w:ascii="SimHei" w:hAnsi="SimHei" w:cs="黑体" w:eastAsia="黑体"/>
          <w:sz w:val="24"/>
          <w:szCs w:val="24"/>
        </w:rPr>
        <w:t>物资类：交通工具、办公用具、物料道具等。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 xml:space="preserve">2.8 </w:t>
      </w:r>
      <w:r>
        <w:rPr>
          <w:rFonts w:ascii="SimHei" w:hAnsi="SimHei" w:cs="黑体" w:eastAsia="黑体"/>
          <w:sz w:val="24"/>
          <w:szCs w:val="24"/>
        </w:rPr>
        <w:t>流程类：办公流程交接、设备设施操作流程、工作流程。</w:t>
      </w:r>
    </w:p>
    <w:p>
      <w:pPr>
        <w:pStyle w:val="Normal"/>
        <w:snapToGrid w:val="false"/>
        <w:spacing w:lineRule="exact" w:line="520"/>
        <w:ind w:firstLine="120"/>
        <w:rPr>
          <w:rFonts w:ascii="黑体" w:hAnsi="黑体" w:eastAsia="黑体" w:cs="黑体"/>
          <w:b/>
          <w:b/>
          <w:sz w:val="24"/>
          <w:szCs w:val="24"/>
        </w:rPr>
      </w:pPr>
      <w:r>
        <w:rPr>
          <w:rFonts w:eastAsia="黑体" w:cs="黑体" w:ascii="SimHei" w:hAnsi="SimHei"/>
          <w:b/>
          <w:sz w:val="24"/>
          <w:szCs w:val="24"/>
        </w:rPr>
      </w:r>
    </w:p>
    <w:p>
      <w:pPr>
        <w:pStyle w:val="Normal"/>
        <w:snapToGrid w:val="false"/>
        <w:spacing w:lineRule="exact" w:line="520"/>
        <w:rPr>
          <w:rFonts w:ascii="黑体" w:hAnsi="黑体" w:eastAsia="黑体" w:cs="黑体"/>
          <w:b/>
          <w:b/>
          <w:sz w:val="28"/>
          <w:szCs w:val="28"/>
        </w:rPr>
      </w:pPr>
      <w:r>
        <w:rPr>
          <w:rFonts w:eastAsia="黑体" w:cs="黑体" w:ascii="SimHei" w:hAnsi="SimHei"/>
          <w:b/>
          <w:sz w:val="28"/>
          <w:szCs w:val="28"/>
        </w:rPr>
        <w:t>3</w:t>
      </w:r>
      <w:r>
        <w:rPr>
          <w:rFonts w:ascii="SimHei" w:hAnsi="SimHei" w:cs="黑体" w:eastAsia="黑体"/>
          <w:b/>
          <w:sz w:val="28"/>
          <w:szCs w:val="28"/>
        </w:rPr>
        <w:t>．交接程序</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3.1</w:t>
      </w:r>
      <w:r>
        <w:rPr>
          <w:rFonts w:eastAsia="黑体" w:cs="黑体" w:ascii="SimHei" w:hAnsi="SimHei"/>
          <w:sz w:val="24"/>
          <w:szCs w:val="24"/>
        </w:rPr>
        <w:t xml:space="preserve"> </w:t>
      </w:r>
      <w:r>
        <w:rPr>
          <w:rFonts w:ascii="SimHei" w:hAnsi="SimHei" w:cs="黑体" w:eastAsia="黑体"/>
          <w:sz w:val="24"/>
          <w:szCs w:val="24"/>
        </w:rPr>
        <w:t>移交人员需按照移交清单逐项进行移交，接收人员要逐项核对点收。</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3.2</w:t>
      </w:r>
      <w:r>
        <w:rPr>
          <w:rFonts w:eastAsia="黑体" w:cs="黑体" w:ascii="SimHei" w:hAnsi="SimHei"/>
          <w:sz w:val="24"/>
          <w:szCs w:val="24"/>
        </w:rPr>
        <w:t xml:space="preserve"> </w:t>
      </w:r>
      <w:r>
        <w:rPr>
          <w:rFonts w:ascii="SimHei" w:hAnsi="SimHei" w:cs="黑体" w:eastAsia="黑体"/>
          <w:sz w:val="24"/>
          <w:szCs w:val="24"/>
        </w:rPr>
        <w:t>交接事项必须当面点清，核对相符，不得封包交接。</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 xml:space="preserve">3.3 </w:t>
      </w:r>
      <w:r>
        <w:rPr>
          <w:rFonts w:ascii="SimHei" w:hAnsi="SimHei" w:cs="黑体" w:eastAsia="黑体"/>
          <w:sz w:val="24"/>
          <w:szCs w:val="24"/>
        </w:rPr>
        <w:t>交接人必须认真填写移交清单。交接清单一式三份，交接双方各持一份，本单位留档一份。</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3.4</w:t>
      </w:r>
      <w:r>
        <w:rPr>
          <w:rFonts w:eastAsia="黑体" w:cs="黑体" w:ascii="SimHei" w:hAnsi="SimHei"/>
          <w:sz w:val="24"/>
          <w:szCs w:val="24"/>
        </w:rPr>
        <w:t xml:space="preserve"> </w:t>
      </w:r>
      <w:r>
        <w:rPr>
          <w:rFonts w:ascii="SimHei" w:hAnsi="SimHei" w:cs="黑体" w:eastAsia="黑体"/>
          <w:sz w:val="24"/>
          <w:szCs w:val="24"/>
        </w:rPr>
        <w:t>办理转岗或离职工作交接时，可以邀请第三方参与。而一般日常工作交接，可由本各自部门负责人监督，部门负责人交接由主管及以上级别领导直接参与或指派人员进行监督。</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3.5</w:t>
      </w:r>
      <w:r>
        <w:rPr>
          <w:rFonts w:eastAsia="黑体" w:cs="黑体" w:ascii="SimHei" w:hAnsi="SimHei"/>
          <w:sz w:val="24"/>
          <w:szCs w:val="24"/>
        </w:rPr>
        <w:t xml:space="preserve"> </w:t>
      </w:r>
      <w:r>
        <w:rPr>
          <w:rFonts w:ascii="SimHei" w:hAnsi="SimHei" w:cs="黑体" w:eastAsia="黑体"/>
          <w:sz w:val="24"/>
          <w:szCs w:val="24"/>
        </w:rPr>
        <w:t>转岗、离职人员在交接手续尚未办清前，不得为其办理人事转岗、离职等事项。</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3.6</w:t>
      </w:r>
      <w:r>
        <w:rPr>
          <w:rFonts w:eastAsia="黑体" w:cs="黑体" w:ascii="SimHei" w:hAnsi="SimHei"/>
          <w:sz w:val="24"/>
          <w:szCs w:val="24"/>
        </w:rPr>
        <w:t xml:space="preserve"> </w:t>
      </w:r>
      <w:r>
        <w:rPr>
          <w:rFonts w:ascii="SimHei" w:hAnsi="SimHei" w:cs="黑体" w:eastAsia="黑体"/>
          <w:sz w:val="24"/>
          <w:szCs w:val="24"/>
        </w:rPr>
        <w:t>交接完毕后，交接双方和第三方负责人要在移交清单上签字确认。并在移交清单上注明单位名称、交接日期、交接双方和第三方参与人的部门和姓名，以及需要说明的问题和意见等。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3.7</w:t>
      </w:r>
      <w:r>
        <w:rPr>
          <w:rFonts w:eastAsia="黑体" w:cs="黑体" w:ascii="SimHei" w:hAnsi="SimHei"/>
          <w:sz w:val="24"/>
          <w:szCs w:val="24"/>
        </w:rPr>
        <w:t xml:space="preserve"> </w:t>
      </w:r>
      <w:r>
        <w:rPr>
          <w:rFonts w:ascii="SimHei" w:hAnsi="SimHei" w:cs="黑体" w:eastAsia="黑体"/>
          <w:sz w:val="24"/>
          <w:szCs w:val="24"/>
        </w:rPr>
        <w:t>对人员临时离职或因病暂时不能工作，需要有人暂时接替或代理工作的，也应当按照本办法的规定办理交接手续；临时离职或因病暂时离岗的人员恢复工作，也要与临时接替或代理人办理交接手续。</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3.8</w:t>
      </w:r>
      <w:r>
        <w:rPr>
          <w:rFonts w:eastAsia="黑体" w:cs="黑体" w:ascii="SimHei" w:hAnsi="SimHei"/>
          <w:sz w:val="24"/>
          <w:szCs w:val="24"/>
        </w:rPr>
        <w:t xml:space="preserve"> </w:t>
      </w:r>
      <w:r>
        <w:rPr>
          <w:rFonts w:ascii="SimHei" w:hAnsi="SimHei" w:cs="黑体" w:eastAsia="黑体"/>
          <w:sz w:val="24"/>
          <w:szCs w:val="24"/>
        </w:rPr>
        <w:t>移交人对自己经办且已经移交的资料的合法性、真实性需承担责任。</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 xml:space="preserve">3.9 </w:t>
      </w:r>
      <w:r>
        <w:rPr>
          <w:rFonts w:ascii="SimHei" w:hAnsi="SimHei" w:cs="黑体" w:eastAsia="黑体"/>
          <w:sz w:val="24"/>
          <w:szCs w:val="24"/>
        </w:rPr>
        <w:t>移交人员因病或其他特殊原因不能亲自办理移交的，经单位领导批准，可以由移交人员委托他人代办移交手续，但委托人必须承担本通知</w:t>
      </w:r>
      <w:r>
        <w:rPr>
          <w:rFonts w:eastAsia="黑体" w:cs="黑体" w:ascii="SimHei" w:hAnsi="SimHei"/>
          <w:b/>
          <w:sz w:val="24"/>
          <w:szCs w:val="24"/>
        </w:rPr>
        <w:t>3.8</w:t>
      </w:r>
      <w:r>
        <w:rPr>
          <w:rFonts w:ascii="SimHei" w:hAnsi="SimHei" w:cs="黑体" w:eastAsia="黑体"/>
          <w:sz w:val="24"/>
          <w:szCs w:val="24"/>
        </w:rPr>
        <w:t>条规定的责任。</w:t>
      </w:r>
    </w:p>
    <w:p>
      <w:pPr>
        <w:pStyle w:val="Normal"/>
        <w:snapToGrid w:val="false"/>
        <w:spacing w:lineRule="exact" w:line="520"/>
        <w:ind w:firstLine="12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rPr>
          <w:rFonts w:ascii="黑体" w:hAnsi="黑体" w:eastAsia="黑体" w:cs="黑体"/>
          <w:b/>
          <w:b/>
          <w:sz w:val="28"/>
          <w:szCs w:val="28"/>
        </w:rPr>
      </w:pPr>
      <w:r>
        <w:rPr>
          <w:rFonts w:eastAsia="黑体" w:cs="黑体" w:ascii="SimHei" w:hAnsi="SimHei"/>
          <w:b/>
          <w:sz w:val="28"/>
          <w:szCs w:val="28"/>
        </w:rPr>
        <w:t xml:space="preserve">4. </w:t>
      </w:r>
      <w:r>
        <w:rPr>
          <w:rFonts w:ascii="SimHei" w:hAnsi="SimHei" w:cs="黑体" w:eastAsia="黑体"/>
          <w:b/>
          <w:sz w:val="28"/>
          <w:szCs w:val="28"/>
        </w:rPr>
        <w:t>部门日常工作交接流程</w:t>
      </w:r>
    </w:p>
    <w:p>
      <w:pPr>
        <w:pStyle w:val="Normal"/>
        <w:snapToGrid w:val="false"/>
        <w:spacing w:lineRule="exact" w:line="520"/>
        <w:ind w:firstLine="118"/>
        <w:rPr>
          <w:rFonts w:ascii="黑体" w:hAnsi="黑体" w:eastAsia="黑体" w:cs="黑体"/>
          <w:sz w:val="24"/>
          <w:szCs w:val="24"/>
        </w:rPr>
      </w:pPr>
      <w:r>
        <w:rPr>
          <w:rFonts w:eastAsia="黑体" w:cs="黑体" w:ascii="SimHei" w:hAnsi="SimHei"/>
          <w:b/>
          <w:sz w:val="24"/>
          <w:szCs w:val="24"/>
        </w:rPr>
        <w:t xml:space="preserve">4.1 </w:t>
      </w:r>
      <w:r>
        <w:rPr>
          <w:rFonts w:ascii="SimHei" w:hAnsi="SimHei" w:cs="黑体" w:eastAsia="黑体"/>
          <w:sz w:val="24"/>
          <w:szCs w:val="24"/>
        </w:rPr>
        <w:t>各部门根据需求自行建立日常工作交接记录档案，用于每日值班人员交接记录。该记录需完整记录每一次交接过程和明细，并长期保存。</w:t>
      </w:r>
    </w:p>
    <w:p>
      <w:pPr>
        <w:pStyle w:val="Normal"/>
        <w:snapToGrid w:val="false"/>
        <w:spacing w:lineRule="exact" w:line="520"/>
        <w:ind w:firstLine="118"/>
        <w:rPr>
          <w:rFonts w:ascii="黑体" w:hAnsi="黑体" w:eastAsia="黑体" w:cs="黑体"/>
          <w:sz w:val="24"/>
          <w:szCs w:val="24"/>
        </w:rPr>
      </w:pPr>
      <w:r>
        <w:rPr>
          <w:rFonts w:eastAsia="黑体" w:cs="黑体" w:ascii="SimHei" w:hAnsi="SimHei"/>
          <w:b/>
          <w:sz w:val="24"/>
          <w:szCs w:val="24"/>
        </w:rPr>
        <w:t>4.2</w:t>
      </w:r>
      <w:r>
        <w:rPr>
          <w:rFonts w:eastAsia="黑体" w:cs="黑体" w:ascii="SimHei" w:hAnsi="SimHei"/>
          <w:sz w:val="24"/>
          <w:szCs w:val="24"/>
        </w:rPr>
        <w:t xml:space="preserve"> </w:t>
      </w:r>
      <w:r>
        <w:rPr>
          <w:rFonts w:ascii="SimHei" w:hAnsi="SimHei" w:cs="黑体" w:eastAsia="黑体"/>
          <w:sz w:val="24"/>
          <w:szCs w:val="24"/>
        </w:rPr>
        <w:t>部门员工在换班、换岗交接过程中需由交接人事先做好交接准备，包括物料盘点、资料整理、工作记录、卫生清洁等工作。根据需要交接的事项认真填写交接记录。</w:t>
      </w:r>
    </w:p>
    <w:p>
      <w:pPr>
        <w:pStyle w:val="Normal"/>
        <w:snapToGrid w:val="false"/>
        <w:spacing w:lineRule="exact" w:line="520"/>
        <w:ind w:firstLine="118"/>
        <w:rPr>
          <w:rFonts w:ascii="黑体" w:hAnsi="黑体" w:eastAsia="黑体" w:cs="黑体"/>
          <w:sz w:val="24"/>
          <w:szCs w:val="24"/>
        </w:rPr>
      </w:pPr>
      <w:r>
        <w:rPr>
          <w:rFonts w:eastAsia="黑体" w:cs="黑体" w:ascii="SimHei" w:hAnsi="SimHei"/>
          <w:b/>
          <w:sz w:val="24"/>
          <w:szCs w:val="24"/>
        </w:rPr>
        <w:t>4.3</w:t>
      </w:r>
      <w:r>
        <w:rPr>
          <w:rFonts w:eastAsia="黑体" w:cs="黑体" w:ascii="SimHei" w:hAnsi="SimHei"/>
          <w:sz w:val="24"/>
          <w:szCs w:val="24"/>
        </w:rPr>
        <w:t xml:space="preserve"> </w:t>
      </w:r>
      <w:r>
        <w:rPr>
          <w:rFonts w:ascii="SimHei" w:hAnsi="SimHei" w:cs="黑体" w:eastAsia="黑体"/>
          <w:sz w:val="24"/>
          <w:szCs w:val="24"/>
        </w:rPr>
        <w:t>承接人到岗后根据交接事项进行清点工作，包括物料、文档文件资料、现金、设备等，对于所交接物品的数量和质量要严格查验，无误后方可签字确认接收。</w:t>
      </w:r>
    </w:p>
    <w:p>
      <w:pPr>
        <w:pStyle w:val="Normal"/>
        <w:snapToGrid w:val="false"/>
        <w:spacing w:lineRule="exact" w:line="520"/>
        <w:ind w:firstLine="118"/>
        <w:rPr>
          <w:rFonts w:ascii="黑体" w:hAnsi="黑体" w:eastAsia="黑体" w:cs="黑体"/>
          <w:sz w:val="24"/>
          <w:szCs w:val="24"/>
        </w:rPr>
      </w:pPr>
      <w:r>
        <w:rPr>
          <w:rFonts w:eastAsia="黑体" w:cs="黑体" w:ascii="SimHei" w:hAnsi="SimHei"/>
          <w:b/>
          <w:sz w:val="24"/>
          <w:szCs w:val="24"/>
        </w:rPr>
        <w:t xml:space="preserve">4.4 </w:t>
      </w:r>
      <w:r>
        <w:rPr>
          <w:rFonts w:ascii="SimHei" w:hAnsi="SimHei" w:cs="黑体" w:eastAsia="黑体"/>
          <w:sz w:val="24"/>
          <w:szCs w:val="24"/>
        </w:rPr>
        <w:t>对于工作事项和设备操作流程的交接必须由交接人亲自演示并培训承接人，培训完成后由承接人试操作，无误后双方签字认可。如承接人无法领悟工作要点和流程可要求转接人再次演示。</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4.5</w:t>
      </w:r>
      <w:r>
        <w:rPr>
          <w:rFonts w:eastAsia="黑体" w:cs="黑体" w:ascii="SimHei" w:hAnsi="SimHei"/>
          <w:sz w:val="24"/>
          <w:szCs w:val="24"/>
        </w:rPr>
        <w:t xml:space="preserve"> </w:t>
      </w:r>
      <w:r>
        <w:rPr>
          <w:rFonts w:ascii="SimHei" w:hAnsi="SimHei" w:cs="黑体" w:eastAsia="黑体"/>
          <w:sz w:val="24"/>
          <w:szCs w:val="24"/>
        </w:rPr>
        <w:t>交接过程中，对过期失效或变质的物料，可由直接上级提出处理意见，经总经理、副经理核实后，签批处理掉。</w:t>
      </w:r>
    </w:p>
    <w:p>
      <w:pPr>
        <w:pStyle w:val="Normal"/>
        <w:snapToGrid w:val="false"/>
        <w:spacing w:lineRule="exact" w:line="520"/>
        <w:ind w:firstLine="120"/>
        <w:rPr>
          <w:rFonts w:ascii="黑体" w:hAnsi="黑体" w:eastAsia="黑体" w:cs="黑体"/>
          <w:sz w:val="24"/>
          <w:szCs w:val="24"/>
        </w:rPr>
      </w:pPr>
      <w:r>
        <w:rPr>
          <w:rFonts w:eastAsia="黑体" w:cs="黑体" w:ascii="SimHei" w:hAnsi="SimHei"/>
          <w:b/>
          <w:sz w:val="24"/>
          <w:szCs w:val="24"/>
        </w:rPr>
        <w:t>4.6</w:t>
      </w:r>
      <w:r>
        <w:rPr>
          <w:rFonts w:eastAsia="黑体" w:cs="黑体" w:ascii="SimHei" w:hAnsi="SimHei"/>
          <w:sz w:val="24"/>
          <w:szCs w:val="24"/>
        </w:rPr>
        <w:t xml:space="preserve"> </w:t>
      </w:r>
      <w:r>
        <w:rPr>
          <w:rFonts w:ascii="SimHei" w:hAnsi="SimHei" w:cs="黑体" w:eastAsia="黑体"/>
          <w:sz w:val="24"/>
          <w:szCs w:val="24"/>
        </w:rPr>
        <w:t>承接人对于已交接的工作事项应当按照完成要求，按时保质地完成，不得以交接事项不清晰、资料不完整等借口推脱交接的工作。</w:t>
      </w:r>
    </w:p>
    <w:p>
      <w:pPr>
        <w:pStyle w:val="Normal"/>
        <w:snapToGrid w:val="false"/>
        <w:spacing w:lineRule="exact" w:line="52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rPr>
          <w:rFonts w:ascii="黑体" w:hAnsi="黑体" w:eastAsia="黑体" w:cs="黑体"/>
          <w:b/>
          <w:b/>
          <w:sz w:val="28"/>
          <w:szCs w:val="28"/>
        </w:rPr>
      </w:pPr>
      <w:r>
        <w:rPr>
          <w:rFonts w:eastAsia="黑体" w:cs="黑体" w:ascii="SimHei" w:hAnsi="SimHei"/>
          <w:b/>
          <w:sz w:val="28"/>
          <w:szCs w:val="28"/>
        </w:rPr>
        <w:t xml:space="preserve">5. </w:t>
      </w:r>
      <w:r>
        <w:rPr>
          <w:rFonts w:ascii="SimHei" w:hAnsi="SimHei" w:cs="黑体" w:eastAsia="黑体"/>
          <w:b/>
          <w:sz w:val="28"/>
          <w:szCs w:val="28"/>
        </w:rPr>
        <w:t>相关责任处理</w:t>
      </w:r>
    </w:p>
    <w:p>
      <w:pPr>
        <w:pStyle w:val="Normal"/>
        <w:snapToGrid w:val="false"/>
        <w:spacing w:lineRule="exact" w:line="520"/>
        <w:ind w:firstLine="241"/>
        <w:rPr>
          <w:rFonts w:ascii="黑体" w:hAnsi="黑体" w:eastAsia="黑体" w:cs="黑体"/>
          <w:sz w:val="24"/>
          <w:szCs w:val="24"/>
        </w:rPr>
      </w:pPr>
      <w:r>
        <w:rPr>
          <w:rFonts w:eastAsia="黑体" w:cs="黑体" w:ascii="SimHei" w:hAnsi="SimHei"/>
          <w:b/>
          <w:sz w:val="24"/>
          <w:szCs w:val="24"/>
        </w:rPr>
        <w:t>5.1</w:t>
      </w:r>
      <w:r>
        <w:rPr>
          <w:rFonts w:eastAsia="黑体" w:cs="黑体" w:ascii="SimHei" w:hAnsi="SimHei"/>
          <w:sz w:val="24"/>
          <w:szCs w:val="24"/>
        </w:rPr>
        <w:t xml:space="preserve"> </w:t>
      </w:r>
      <w:r>
        <w:rPr>
          <w:rFonts w:ascii="SimHei" w:hAnsi="SimHei" w:cs="黑体" w:eastAsia="黑体"/>
          <w:sz w:val="24"/>
          <w:szCs w:val="24"/>
        </w:rPr>
        <w:t>对于交接工作所涉及的工作事项或物料需由交接双方共同负责，若因未按交接流程进行或交接流程不完善而导致物料丢失或工作事项延期交付等问题，将按照公司奖惩制度进行处罚，处罚依据以工作交接记录为准。</w:t>
      </w:r>
    </w:p>
    <w:p>
      <w:pPr>
        <w:pStyle w:val="Normal"/>
        <w:snapToGrid w:val="false"/>
        <w:spacing w:lineRule="exact" w:line="520"/>
        <w:ind w:firstLine="241"/>
        <w:rPr>
          <w:rFonts w:ascii="黑体" w:hAnsi="黑体" w:eastAsia="黑体" w:cs="黑体"/>
          <w:sz w:val="24"/>
          <w:szCs w:val="24"/>
        </w:rPr>
      </w:pPr>
      <w:r>
        <w:rPr>
          <w:rFonts w:eastAsia="黑体" w:cs="黑体" w:ascii="SimHei" w:hAnsi="SimHei"/>
          <w:b/>
          <w:sz w:val="24"/>
          <w:szCs w:val="24"/>
        </w:rPr>
        <w:t>5.2</w:t>
      </w:r>
      <w:r>
        <w:rPr>
          <w:rFonts w:eastAsia="黑体" w:cs="黑体" w:ascii="SimHei" w:hAnsi="SimHei"/>
          <w:sz w:val="24"/>
          <w:szCs w:val="24"/>
        </w:rPr>
        <w:t xml:space="preserve"> </w:t>
      </w:r>
      <w:r>
        <w:rPr>
          <w:rFonts w:ascii="SimHei" w:hAnsi="SimHei" w:cs="黑体" w:eastAsia="黑体"/>
          <w:sz w:val="24"/>
          <w:szCs w:val="24"/>
        </w:rPr>
        <w:t>对于因离职、转岗、休假、出差外出等原因需要办理工作交接手续的，必须按规定填写工作交接单。日常换班、换岗工作交接事项可由各部门自行拟定交接记录。若因未作交接记录或记录不清晰而导致物料丢失或工作失误等现象，则由交接双方共同承担相应责任。</w:t>
      </w:r>
    </w:p>
    <w:p>
      <w:pPr>
        <w:pStyle w:val="Normal"/>
        <w:snapToGrid w:val="false"/>
        <w:spacing w:lineRule="exact" w:line="520"/>
        <w:ind w:firstLine="24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rPr>
          <w:rFonts w:ascii="黑体" w:hAnsi="黑体" w:eastAsia="黑体" w:cs="黑体"/>
          <w:b/>
          <w:b/>
          <w:sz w:val="28"/>
          <w:szCs w:val="28"/>
        </w:rPr>
      </w:pPr>
      <w:r>
        <w:rPr>
          <w:rFonts w:eastAsia="黑体" w:cs="黑体" w:ascii="SimHei" w:hAnsi="SimHei"/>
          <w:b/>
          <w:sz w:val="28"/>
          <w:szCs w:val="28"/>
        </w:rPr>
        <w:t xml:space="preserve">6. </w:t>
      </w:r>
      <w:r>
        <w:rPr>
          <w:rFonts w:ascii="SimHei" w:hAnsi="SimHei" w:cs="黑体" w:eastAsia="黑体"/>
          <w:b/>
          <w:sz w:val="28"/>
          <w:szCs w:val="28"/>
        </w:rPr>
        <w:t>相关附件</w:t>
      </w:r>
    </w:p>
    <w:p>
      <w:pPr>
        <w:pStyle w:val="Normal"/>
        <w:snapToGrid w:val="false"/>
        <w:spacing w:lineRule="exact" w:line="520"/>
        <w:rPr>
          <w:rFonts w:ascii="黑体" w:hAnsi="黑体" w:eastAsia="黑体" w:cs="黑体"/>
          <w:sz w:val="24"/>
          <w:szCs w:val="24"/>
        </w:rPr>
      </w:pPr>
      <w:r>
        <w:rPr>
          <w:rFonts w:ascii="SimHei" w:hAnsi="SimHei" w:cs="黑体" w:eastAsia="黑体"/>
          <w:sz w:val="24"/>
          <w:szCs w:val="24"/>
        </w:rPr>
        <w:t>附件一《工作交接记录单》</w:t>
      </w:r>
    </w:p>
    <w:p>
      <w:pPr>
        <w:pStyle w:val="Normal"/>
        <w:snapToGrid w:val="false"/>
        <w:spacing w:lineRule="exact" w:line="52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t xml:space="preserve">                                            </w:t>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p>
      <w:pPr>
        <w:pStyle w:val="Normal"/>
        <w:snapToGrid w:val="false"/>
        <w:spacing w:lineRule="exact" w:line="520"/>
        <w:jc w:val="end"/>
        <w:rPr>
          <w:rFonts w:ascii="黑体" w:hAnsi="黑体" w:eastAsia="黑体" w:cs="黑体"/>
          <w:sz w:val="24"/>
          <w:szCs w:val="24"/>
        </w:rPr>
      </w:pPr>
      <w:r>
        <w:rPr>
          <w:rFonts w:eastAsia="黑体" w:cs="黑体" w:ascii="SimHei" w:hAnsi="SimHei"/>
          <w:sz w:val="24"/>
          <w:szCs w:val="24"/>
        </w:rPr>
      </w:r>
    </w:p>
    <w:tbl>
      <w:tblPr>
        <w:tblW w:w="9478" w:type="dxa"/>
        <w:jc w:val="start"/>
        <w:tblInd w:w="-201" w:type="dxa"/>
        <w:tblLayout w:type="fixed"/>
        <w:tblCellMar>
          <w:top w:w="0" w:type="dxa"/>
          <w:start w:w="108" w:type="dxa"/>
          <w:bottom w:w="0" w:type="dxa"/>
          <w:end w:w="108" w:type="dxa"/>
        </w:tblCellMar>
      </w:tblPr>
      <w:tblGrid>
        <w:gridCol w:w="1548"/>
        <w:gridCol w:w="1800"/>
        <w:gridCol w:w="1260"/>
        <w:gridCol w:w="1440"/>
        <w:gridCol w:w="180"/>
        <w:gridCol w:w="1080"/>
        <w:gridCol w:w="360"/>
        <w:gridCol w:w="1810"/>
      </w:tblGrid>
      <w:tr>
        <w:trPr>
          <w:trHeight w:val="620"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交接部门</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交接人</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接收人</w:t>
            </w:r>
          </w:p>
        </w:tc>
        <w:tc>
          <w:tcPr>
            <w:tcW w:w="1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r>
      <w:tr>
        <w:trPr>
          <w:trHeight w:val="563"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交接原因</w:t>
            </w:r>
          </w:p>
        </w:tc>
        <w:tc>
          <w:tcPr>
            <w:tcW w:w="7930" w:type="dxa"/>
            <w:gridSpan w:val="7"/>
            <w:tcBorders>
              <w:top w:val="single" w:sz="4" w:space="0" w:color="000000"/>
              <w:start w:val="single" w:sz="4" w:space="0" w:color="000000"/>
              <w:bottom w:val="single" w:sz="4" w:space="0" w:color="000000"/>
              <w:end w:val="single" w:sz="4" w:space="0" w:color="000000"/>
            </w:tcBorders>
            <w:vAlign w:val="bottom"/>
          </w:tcPr>
          <w:p>
            <w:pPr>
              <w:pStyle w:val="Normal"/>
              <w:ind w:firstLine="480"/>
              <w:rPr>
                <w:rFonts w:ascii="黑体" w:hAnsi="黑体" w:eastAsia="黑体" w:cs="黑体"/>
                <w:b/>
                <w:b/>
                <w:sz w:val="24"/>
                <w:szCs w:val="24"/>
                <w:u w:val="single"/>
              </w:rPr>
            </w:pPr>
            <w:r>
              <w:rPr>
                <w:rFonts w:ascii="SimHei" w:hAnsi="SimHei" w:cs="黑体" w:eastAsia="黑体"/>
                <w:sz w:val="24"/>
                <w:szCs w:val="24"/>
              </w:rPr>
              <w:t>离职     转岗     休假</w:t>
            </w:r>
            <w:r>
              <w:rPr>
                <w:rFonts w:ascii="SimHei" w:hAnsi="SimHei" w:cs="黑体" w:eastAsia="黑体"/>
                <w:sz w:val="24"/>
                <w:szCs w:val="24"/>
                <w:u w:val="single"/>
              </w:rPr>
              <w:t xml:space="preserve">      </w:t>
            </w:r>
            <w:r>
              <w:rPr>
                <w:rFonts w:ascii="SimHei" w:hAnsi="SimHei" w:cs="黑体" w:eastAsia="黑体"/>
                <w:sz w:val="24"/>
                <w:szCs w:val="24"/>
              </w:rPr>
              <w:t>天  出差</w:t>
            </w:r>
            <w:r>
              <w:rPr>
                <w:rFonts w:ascii="SimHei" w:hAnsi="SimHei" w:cs="黑体" w:eastAsia="黑体"/>
                <w:sz w:val="24"/>
                <w:szCs w:val="24"/>
                <w:u w:val="single"/>
              </w:rPr>
              <w:t xml:space="preserve">      </w:t>
            </w:r>
            <w:r>
              <w:rPr>
                <w:rFonts w:ascii="SimHei" w:hAnsi="SimHei" w:cs="黑体" w:eastAsia="黑体"/>
                <w:sz w:val="24"/>
                <w:szCs w:val="24"/>
              </w:rPr>
              <w:t>天   其他</w:t>
            </w:r>
            <w:r>
              <w:rPr>
                <w:rFonts w:ascii="SimHei" w:hAnsi="SimHei" w:cs="黑体" w:eastAsia="黑体"/>
                <w:sz w:val="24"/>
                <w:szCs w:val="24"/>
                <w:u w:val="single"/>
              </w:rPr>
              <w:t xml:space="preserve">         </w:t>
            </w:r>
          </w:p>
        </w:tc>
      </w:tr>
      <w:tr>
        <w:trPr>
          <w:trHeight w:val="550"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firstLine="241"/>
              <w:rPr>
                <w:rFonts w:ascii="黑体" w:hAnsi="黑体" w:eastAsia="黑体" w:cs="黑体"/>
                <w:b/>
                <w:b/>
                <w:sz w:val="24"/>
                <w:szCs w:val="24"/>
              </w:rPr>
            </w:pPr>
            <w:r>
              <w:rPr>
                <w:rFonts w:ascii="SimHei" w:hAnsi="SimHei" w:cs="黑体" w:eastAsia="黑体"/>
                <w:b/>
                <w:sz w:val="24"/>
                <w:szCs w:val="24"/>
              </w:rPr>
              <w:t>第三方</w:t>
            </w:r>
          </w:p>
          <w:p>
            <w:pPr>
              <w:pStyle w:val="Normal"/>
              <w:ind w:firstLine="241"/>
              <w:rPr>
                <w:rFonts w:ascii="黑体" w:hAnsi="黑体" w:eastAsia="黑体" w:cs="黑体"/>
                <w:b/>
                <w:b/>
                <w:sz w:val="24"/>
                <w:szCs w:val="24"/>
              </w:rPr>
            </w:pPr>
            <w:r>
              <w:rPr>
                <w:rFonts w:ascii="SimHei" w:hAnsi="SimHei" w:cs="黑体" w:eastAsia="黑体"/>
                <w:b/>
                <w:sz w:val="24"/>
                <w:szCs w:val="24"/>
              </w:rPr>
              <w:t>参与人</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所属部门</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交接时间</w:t>
            </w:r>
          </w:p>
        </w:tc>
        <w:tc>
          <w:tcPr>
            <w:tcW w:w="1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r>
      <w:tr>
        <w:trPr>
          <w:trHeight w:val="2569"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ind w:firstLine="241"/>
              <w:rPr>
                <w:rFonts w:ascii="黑体" w:hAnsi="黑体" w:eastAsia="黑体" w:cs="黑体"/>
                <w:b/>
                <w:b/>
                <w:sz w:val="24"/>
                <w:szCs w:val="24"/>
              </w:rPr>
            </w:pPr>
            <w:r>
              <w:rPr>
                <w:rFonts w:ascii="SimHei" w:hAnsi="SimHei" w:cs="黑体" w:eastAsia="黑体"/>
                <w:b/>
                <w:sz w:val="24"/>
                <w:szCs w:val="24"/>
              </w:rPr>
              <w:t>工作事项</w:t>
            </w:r>
          </w:p>
          <w:p>
            <w:pPr>
              <w:pStyle w:val="Normal"/>
              <w:jc w:val="center"/>
              <w:rPr>
                <w:rFonts w:ascii="黑体" w:hAnsi="黑体" w:eastAsia="黑体" w:cs="黑体"/>
                <w:sz w:val="24"/>
                <w:szCs w:val="24"/>
              </w:rPr>
            </w:pPr>
            <w:r>
              <w:rPr>
                <w:rFonts w:ascii="SimHei" w:hAnsi="SimHei" w:cs="黑体" w:eastAsia="黑体"/>
                <w:sz w:val="24"/>
                <w:szCs w:val="24"/>
              </w:rPr>
              <w:t>（未完成事项需注明完成时限）</w:t>
            </w:r>
          </w:p>
        </w:tc>
        <w:tc>
          <w:tcPr>
            <w:tcW w:w="7930"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黑体" w:hAnsi="黑体" w:eastAsia="黑体" w:cs="黑体"/>
                <w:b/>
                <w:b/>
                <w:sz w:val="24"/>
                <w:szCs w:val="24"/>
              </w:rPr>
            </w:pPr>
            <w:r>
              <w:rPr>
                <w:rFonts w:eastAsia="黑体" w:cs="黑体" w:ascii="SimHei" w:hAnsi="SimHei"/>
                <w:b/>
                <w:sz w:val="24"/>
                <w:szCs w:val="24"/>
              </w:rPr>
            </w:r>
          </w:p>
        </w:tc>
      </w:tr>
      <w:tr>
        <w:trPr>
          <w:trHeight w:val="1640"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物品交接</w:t>
            </w:r>
          </w:p>
          <w:p>
            <w:pPr>
              <w:pStyle w:val="Normal"/>
              <w:jc w:val="center"/>
              <w:rPr>
                <w:rFonts w:ascii="黑体" w:hAnsi="黑体" w:eastAsia="黑体" w:cs="黑体"/>
                <w:sz w:val="24"/>
                <w:szCs w:val="24"/>
              </w:rPr>
            </w:pPr>
            <w:r>
              <w:rPr>
                <w:rFonts w:ascii="SimHei" w:hAnsi="SimHei" w:cs="黑体" w:eastAsia="黑体"/>
                <w:sz w:val="24"/>
                <w:szCs w:val="24"/>
              </w:rPr>
              <w:t>（另列明物料清单作为附件）</w:t>
            </w:r>
          </w:p>
        </w:tc>
        <w:tc>
          <w:tcPr>
            <w:tcW w:w="7930"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黑体" w:hAnsi="黑体" w:eastAsia="黑体" w:cs="黑体"/>
                <w:sz w:val="24"/>
                <w:szCs w:val="24"/>
              </w:rPr>
            </w:pPr>
            <w:r>
              <w:rPr>
                <w:rFonts w:eastAsia="黑体" w:cs="黑体" w:ascii="SimHei" w:hAnsi="SimHei"/>
                <w:sz w:val="24"/>
                <w:szCs w:val="24"/>
              </w:rPr>
            </w:r>
          </w:p>
          <w:p>
            <w:pPr>
              <w:pStyle w:val="Normal"/>
              <w:rPr>
                <w:rFonts w:ascii="黑体" w:hAnsi="黑体" w:eastAsia="黑体" w:cs="黑体"/>
                <w:sz w:val="24"/>
                <w:szCs w:val="24"/>
              </w:rPr>
            </w:pPr>
            <w:r>
              <w:rPr>
                <w:rFonts w:eastAsia="黑体" w:cs="黑体" w:ascii="SimHei" w:hAnsi="SimHei"/>
                <w:sz w:val="24"/>
                <w:szCs w:val="24"/>
              </w:rPr>
            </w:r>
          </w:p>
          <w:p>
            <w:pPr>
              <w:pStyle w:val="Normal"/>
              <w:rPr>
                <w:rFonts w:ascii="黑体" w:hAnsi="黑体" w:eastAsia="黑体" w:cs="黑体"/>
                <w:b/>
                <w:b/>
                <w:sz w:val="24"/>
                <w:szCs w:val="24"/>
              </w:rPr>
            </w:pPr>
            <w:r>
              <w:rPr>
                <w:rFonts w:eastAsia="黑体" w:cs="黑体" w:ascii="SimHei" w:hAnsi="SimHei"/>
                <w:b/>
                <w:sz w:val="24"/>
                <w:szCs w:val="24"/>
              </w:rPr>
            </w:r>
          </w:p>
        </w:tc>
      </w:tr>
      <w:tr>
        <w:trPr>
          <w:trHeight w:val="1548"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电子文档、纸质文档交接</w:t>
            </w:r>
          </w:p>
        </w:tc>
        <w:tc>
          <w:tcPr>
            <w:tcW w:w="793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tc>
      </w:tr>
      <w:tr>
        <w:trPr>
          <w:trHeight w:val="1242"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设备操作流程是否清晰</w:t>
            </w:r>
          </w:p>
        </w:tc>
        <w:tc>
          <w:tcPr>
            <w:tcW w:w="793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tc>
      </w:tr>
      <w:tr>
        <w:trPr>
          <w:trHeight w:val="919"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现金、经费、票据</w:t>
            </w:r>
          </w:p>
        </w:tc>
        <w:tc>
          <w:tcPr>
            <w:tcW w:w="793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p>
            <w:pPr>
              <w:pStyle w:val="Normal"/>
              <w:jc w:val="center"/>
              <w:rPr>
                <w:rFonts w:ascii="黑体" w:hAnsi="黑体" w:eastAsia="黑体" w:cs="黑体"/>
                <w:b/>
                <w:b/>
                <w:sz w:val="24"/>
                <w:szCs w:val="24"/>
              </w:rPr>
            </w:pPr>
            <w:r>
              <w:rPr>
                <w:rFonts w:eastAsia="黑体" w:cs="黑体" w:ascii="SimHei" w:hAnsi="SimHei"/>
                <w:b/>
                <w:sz w:val="24"/>
                <w:szCs w:val="24"/>
              </w:rPr>
            </w:r>
          </w:p>
        </w:tc>
      </w:tr>
      <w:tr>
        <w:trPr>
          <w:trHeight w:val="1532"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备注</w:t>
            </w:r>
          </w:p>
        </w:tc>
        <w:tc>
          <w:tcPr>
            <w:tcW w:w="793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r>
      <w:tr>
        <w:trPr>
          <w:trHeight w:val="929" w:hRule="atLeast"/>
          <w:cantSplit w:val="true"/>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相关负责人签字确认</w:t>
            </w:r>
          </w:p>
        </w:tc>
        <w:tc>
          <w:tcPr>
            <w:tcW w:w="450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黑体" w:hAnsi="黑体" w:eastAsia="黑体" w:cs="黑体"/>
                <w:b/>
                <w:b/>
                <w:sz w:val="24"/>
                <w:szCs w:val="24"/>
              </w:rPr>
            </w:pPr>
            <w:r>
              <w:rPr>
                <w:rFonts w:ascii="SimHei" w:hAnsi="SimHei" w:cs="黑体" w:eastAsia="黑体"/>
                <w:b/>
                <w:sz w:val="24"/>
                <w:szCs w:val="24"/>
              </w:rPr>
              <w:t>部门负责人审核</w:t>
            </w:r>
          </w:p>
        </w:tc>
        <w:tc>
          <w:tcPr>
            <w:tcW w:w="2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黑体"/>
                <w:b/>
                <w:b/>
                <w:sz w:val="24"/>
                <w:szCs w:val="24"/>
              </w:rPr>
            </w:pPr>
            <w:r>
              <w:rPr>
                <w:rFonts w:eastAsia="黑体" w:cs="黑体" w:ascii="SimHei" w:hAnsi="SimHei"/>
                <w:b/>
                <w:sz w:val="24"/>
                <w:szCs w:val="24"/>
              </w:rPr>
            </w:r>
          </w:p>
        </w:tc>
      </w:tr>
    </w:tbl>
    <w:p>
      <w:pPr>
        <w:pStyle w:val="Normal"/>
        <w:jc w:val="center"/>
        <w:rPr>
          <w:rFonts w:ascii="黑体" w:hAnsi="黑体" w:eastAsia="黑体" w:cs="黑体"/>
          <w:b/>
          <w:b/>
          <w:sz w:val="28"/>
          <w:szCs w:val="28"/>
        </w:rPr>
      </w:pPr>
      <w:r>
        <w:rPr>
          <w:rFonts w:ascii="SimHei" w:hAnsi="SimHei" w:cs="黑体" w:eastAsia="黑体"/>
          <w:b/>
          <w:sz w:val="44"/>
          <w:szCs w:val="44"/>
        </w:rPr>
        <w:t>工作交接记录单</w:t>
      </w:r>
    </w:p>
    <w:sectPr>
      <w:headerReference w:type="default" r:id="rId2"/>
      <w:footerReference w:type="default" r:id="rId3"/>
      <w:type w:val="nextPage"/>
      <w:pgSz w:w="11906" w:h="16838"/>
      <w:pgMar w:left="1588" w:right="1418" w:header="397" w:top="851" w:footer="397" w:bottom="56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Liberation Sans">
    <w:altName w:val="Arial"/>
    <w:charset w:val="01" w:characterSet="utf-8"/>
    <w:family w:val="swiss"/>
    <w:pitch w:val="variable"/>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21"/>
        <w:szCs w:val="21"/>
      </w:rPr>
    </w:pPr>
    <w:r>
      <w:rPr>
        <w:sz w:val="21"/>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sz w:val="21"/>
        <w:szCs w:val="21"/>
      </w:rPr>
    </w:pPr>
    <w:r>
      <w:rPr>
        <w:rFonts w:eastAsia="Calibri" w:cs="Calibri"/>
      </w:rPr>
      <w:t xml:space="preserve">                             </w:t>
    </w:r>
  </w:p>
  <w:p>
    <w:pPr>
      <w:pStyle w:val="Header"/>
      <w:pBdr>
        <w:bottom w:val="nil"/>
      </w:pBdr>
      <w:jc w:val="both"/>
      <w:rPr>
        <w:sz w:val="21"/>
        <w:szCs w:val="21"/>
      </w:rPr>
    </w:pPr>
    <w:r>
      <w:rPr>
        <w:sz w:val="21"/>
        <w:szCs w:val="2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3"/>
      <w:numFmt w:val="decimal"/>
      <w:lvlText w:val="%1.%2"/>
      <w:lvlJc w:val="start"/>
      <w:pPr>
        <w:tabs>
          <w:tab w:val="num" w:pos="0"/>
        </w:tabs>
        <w:ind w:start="525" w:hanging="405"/>
      </w:pPr>
      <w:rPr>
        <w:b/>
      </w:rPr>
    </w:lvl>
    <w:lvl w:ilvl="2">
      <w:start w:val="1"/>
      <w:numFmt w:val="decimal"/>
      <w:lvlText w:val="%1.%2.%3"/>
      <w:lvlJc w:val="start"/>
      <w:pPr>
        <w:tabs>
          <w:tab w:val="num" w:pos="0"/>
        </w:tabs>
        <w:ind w:start="960" w:hanging="720"/>
      </w:pPr>
      <w:rPr>
        <w:b/>
      </w:rPr>
    </w:lvl>
    <w:lvl w:ilvl="3">
      <w:start w:val="1"/>
      <w:numFmt w:val="decimal"/>
      <w:lvlText w:val="%1.%2.%3.%4"/>
      <w:lvlJc w:val="start"/>
      <w:pPr>
        <w:tabs>
          <w:tab w:val="num" w:pos="0"/>
        </w:tabs>
        <w:ind w:start="1440" w:hanging="1080"/>
      </w:pPr>
      <w:rPr>
        <w:b/>
      </w:rPr>
    </w:lvl>
    <w:lvl w:ilvl="4">
      <w:start w:val="1"/>
      <w:numFmt w:val="decimal"/>
      <w:lvlText w:val="%1.%2.%3.%4.%5"/>
      <w:lvlJc w:val="start"/>
      <w:pPr>
        <w:tabs>
          <w:tab w:val="num" w:pos="0"/>
        </w:tabs>
        <w:ind w:start="1560" w:hanging="1080"/>
      </w:pPr>
      <w:rPr>
        <w:b/>
      </w:rPr>
    </w:lvl>
    <w:lvl w:ilvl="5">
      <w:start w:val="1"/>
      <w:numFmt w:val="decimal"/>
      <w:lvlText w:val="%1.%2.%3.%4.%5.%6"/>
      <w:lvlJc w:val="start"/>
      <w:pPr>
        <w:tabs>
          <w:tab w:val="num" w:pos="0"/>
        </w:tabs>
        <w:ind w:start="2040" w:hanging="1440"/>
      </w:pPr>
      <w:rPr>
        <w:b/>
      </w:rPr>
    </w:lvl>
    <w:lvl w:ilvl="6">
      <w:start w:val="1"/>
      <w:numFmt w:val="decimal"/>
      <w:lvlText w:val="%1.%2.%3.%4.%5.%6.%7"/>
      <w:lvlJc w:val="start"/>
      <w:pPr>
        <w:tabs>
          <w:tab w:val="num" w:pos="0"/>
        </w:tabs>
        <w:ind w:start="2520" w:hanging="1800"/>
      </w:pPr>
      <w:rPr>
        <w:b/>
      </w:rPr>
    </w:lvl>
    <w:lvl w:ilvl="7">
      <w:start w:val="1"/>
      <w:numFmt w:val="decimal"/>
      <w:lvlText w:val="%1.%2.%3.%4.%5.%6.%7.%8"/>
      <w:lvlJc w:val="start"/>
      <w:pPr>
        <w:tabs>
          <w:tab w:val="num" w:pos="0"/>
        </w:tabs>
        <w:ind w:start="2640" w:hanging="1800"/>
      </w:pPr>
      <w:rPr>
        <w:b/>
      </w:rPr>
    </w:lvl>
    <w:lvl w:ilvl="8">
      <w:start w:val="1"/>
      <w:numFmt w:val="decimal"/>
      <w:lvlText w:val="%1.%2.%3.%4.%5.%6.%7.%8.%9"/>
      <w:lvlJc w:val="start"/>
      <w:pPr>
        <w:tabs>
          <w:tab w:val="num" w:pos="0"/>
        </w:tabs>
        <w:ind w:start="3120" w:hanging="216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character" w:styleId="WW8Num1z0">
    <w:name w:val="WW8Num1z0"/>
    <w:qFormat/>
    <w:rPr/>
  </w:style>
  <w:style w:type="character" w:styleId="WW8Num1z1">
    <w:name w:val="WW8Num1z1"/>
    <w:qFormat/>
    <w:rPr>
      <w:b/>
    </w:rPr>
  </w:style>
  <w:style w:type="character" w:styleId="Style14">
    <w:name w:val="默认段落字体"/>
    <w:qFormat/>
    <w:rPr/>
  </w:style>
  <w:style w:type="character" w:styleId="CharChar">
    <w:name w:val=" Char Char"/>
    <w:basedOn w:val="Style14"/>
    <w:qFormat/>
    <w:rPr>
      <w:rFonts w:cs="Times New Roman"/>
      <w:sz w:val="2"/>
    </w:rPr>
  </w:style>
  <w:style w:type="character" w:styleId="StrongEmphasis">
    <w:name w:val="Strong Emphasis"/>
    <w:basedOn w:val="Style14"/>
    <w:qFormat/>
    <w:rPr>
      <w:rFonts w:cs="Times New Roman"/>
      <w:b/>
      <w:bCs/>
    </w:rPr>
  </w:style>
  <w:style w:type="character" w:styleId="CharChar2">
    <w:name w:val=" Char Char2"/>
    <w:basedOn w:val="Style14"/>
    <w:qFormat/>
    <w:rPr>
      <w:rFonts w:cs="Times New Roman"/>
      <w:sz w:val="18"/>
      <w:szCs w:val="18"/>
    </w:rPr>
  </w:style>
  <w:style w:type="character" w:styleId="CharChar1">
    <w:name w:val=" Char Char1"/>
    <w:basedOn w:val="Style14"/>
    <w:qFormat/>
    <w:rPr>
      <w:rFonts w:cs="Times New Roman"/>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日期"/>
    <w:basedOn w:val="Normal"/>
    <w:next w:val="Normal"/>
    <w:qFormat/>
    <w:pPr>
      <w:ind w:start="10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2012-02-28T15:43:00Z</dcterms:created>
  <dc:creator>User</dc:creator>
  <dc:description/>
  <dc:language>en-US</dc:language>
  <cp:lastModifiedBy>Administrator</cp:lastModifiedBy>
  <cp:lastPrinted>2011-12-02T12:11:00Z</cp:lastPrinted>
  <dcterms:modified xsi:type="dcterms:W3CDTF">2019-12-19T15:44:33Z</dcterms:modified>
  <cp:revision>125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