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;SimHei" w:hAnsi="黑体;SimHei" w:eastAsia="黑体;SimHei"/>
          <w:sz w:val="30"/>
          <w:szCs w:val="30"/>
        </w:rPr>
      </w:pPr>
      <w:r>
        <w:rPr>
          <w:rFonts w:ascii="SimHei" w:hAnsi="SimHei" w:eastAsia="黑体"/>
          <w:sz w:val="30"/>
          <w:szCs w:val="30"/>
        </w:rPr>
        <w:t>员工离职工作交接表</w:t>
      </w:r>
    </w:p>
    <w:p>
      <w:pPr>
        <w:pStyle w:val="Normal"/>
        <w:rPr>
          <w:rFonts w:ascii="楷体_GB2312" w:hAnsi="楷体_GB2312" w:eastAsia="楷体_GB2312"/>
          <w:sz w:val="28"/>
          <w:szCs w:val="28"/>
        </w:rPr>
      </w:pPr>
      <w:r>
        <w:rPr>
          <w:rFonts w:eastAsia="黑体" w:cs="楷体_GB2312" w:ascii="SimHei" w:hAnsi="SimHei"/>
          <w:sz w:val="28"/>
          <w:szCs w:val="28"/>
        </w:rPr>
        <w:t xml:space="preserve">                                                   </w:t>
      </w:r>
      <w:r>
        <w:rPr>
          <w:rFonts w:ascii="SimHei" w:hAnsi="SimHei" w:eastAsia="黑体"/>
          <w:sz w:val="28"/>
          <w:szCs w:val="28"/>
        </w:rPr>
        <w:t>填表日期：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120"/>
        <w:gridCol w:w="960"/>
        <w:gridCol w:w="300"/>
        <w:gridCol w:w="240"/>
        <w:gridCol w:w="705"/>
        <w:gridCol w:w="555"/>
        <w:gridCol w:w="915"/>
        <w:gridCol w:w="705"/>
        <w:gridCol w:w="345"/>
        <w:gridCol w:w="1275"/>
        <w:gridCol w:w="90"/>
        <w:gridCol w:w="90"/>
        <w:gridCol w:w="1275"/>
        <w:gridCol w:w="165"/>
        <w:gridCol w:w="180"/>
        <w:gridCol w:w="1440"/>
      </w:tblGrid>
      <w:tr>
        <w:trPr>
          <w:trHeight w:val="560" w:hRule="atLeast"/>
        </w:trPr>
        <w:tc>
          <w:tcPr>
            <w:tcW w:w="9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部门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岗位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到职日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560" w:hRule="atLeast"/>
        </w:trPr>
        <w:tc>
          <w:tcPr>
            <w:tcW w:w="19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bCs/>
                <w:sz w:val="28"/>
                <w:szCs w:val="28"/>
              </w:rPr>
              <w:t>申请离职日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bCs/>
                <w:sz w:val="28"/>
                <w:szCs w:val="28"/>
              </w:rPr>
              <w:t>允许离职日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bCs/>
                <w:sz w:val="28"/>
                <w:szCs w:val="28"/>
              </w:rPr>
              <w:t>实际离职日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600" w:hRule="atLeast"/>
          <w:cantSplit w:val="true"/>
        </w:trPr>
        <w:tc>
          <w:tcPr>
            <w:tcW w:w="1018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员工应按下列项目办理工作交接</w:t>
            </w:r>
          </w:p>
        </w:tc>
      </w:tr>
      <w:tr>
        <w:trPr>
          <w:trHeight w:val="802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经办</w:t>
            </w:r>
          </w:p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部门</w:t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应移交事项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接交</w:t>
            </w:r>
            <w:r>
              <w:rPr>
                <w:rFonts w:eastAsia="黑体" w:ascii="SimHei" w:hAnsi="SimHei"/>
                <w:sz w:val="24"/>
                <w:szCs w:val="24"/>
              </w:rPr>
              <w:t>/</w:t>
            </w:r>
          </w:p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经办人签字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监交人签字</w:t>
            </w:r>
          </w:p>
        </w:tc>
      </w:tr>
      <w:tr>
        <w:trPr>
          <w:trHeight w:val="6300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5" w:leader="none"/>
              </w:tabs>
              <w:snapToGrid w:val="false"/>
              <w:spacing w:lineRule="exact" w:line="600"/>
              <w:jc w:val="center"/>
              <w:rPr>
                <w:rFonts w:ascii="楷体_GB2312" w:hAnsi="楷体_GB2312" w:eastAsia="楷体_GB2312"/>
                <w:kern w:val="0"/>
                <w:sz w:val="28"/>
                <w:szCs w:val="28"/>
                <w:lang w:bidi="hi-IN"/>
              </w:rPr>
            </w:pPr>
            <w:r>
              <w:rPr>
                <w:rFonts w:eastAsia="黑体" w:ascii="SimHei" w:hAnsi="SimHei"/>
                <w:kern w:val="0"/>
                <w:sz w:val="28"/>
                <w:szCs w:val="28"/>
                <w:lang w:bidi="hi-IN"/>
              </w:rPr>
            </w:r>
          </w:p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原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部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门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eastAsia="黑体" w:ascii="SimHei" w:hAnsi="SimHei"/>
                <w:sz w:val="24"/>
                <w:szCs w:val="24"/>
              </w:rPr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 xml:space="preserve">一、工作交接清单： </w:t>
            </w:r>
          </w:p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>□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有（请附详细的交接文档。请详细说明：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1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、目前操作完毕的事项；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2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、目前正在操作的事项；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3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、下一步计划操作的事项；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4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 xml:space="preserve">、明确各项工作内容、工作进度、工作计划和相关联系对象、地址、电话等相应交接的事宜。）    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>□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无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>二、电话向客户说明人员变动（指技术部门）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>□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有        □无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 xml:space="preserve">三、客户现场交接（指业务部门）  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>□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有     □无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>四、其他：</w:t>
            </w:r>
          </w:p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598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资料管理部门</w:t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一、各类图书资料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600"/>
              <w:jc w:val="center"/>
              <w:rPr>
                <w:rFonts w:ascii="楷体_GB2312" w:hAnsi="楷体_GB2312" w:eastAsia="楷体_GB2312"/>
                <w:bCs/>
                <w:sz w:val="28"/>
                <w:szCs w:val="28"/>
              </w:rPr>
            </w:pPr>
            <w:r>
              <w:rPr>
                <w:rFonts w:eastAsia="黑体" w:ascii="SimHei" w:hAnsi="SimHei"/>
                <w:bCs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15" w:leader="none"/>
              </w:tabs>
              <w:spacing w:lineRule="exact" w:line="600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仓库</w:t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一、固定资产、个人保管的财物、工具，借用物资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600"/>
              <w:jc w:val="center"/>
              <w:rPr>
                <w:rFonts w:ascii="楷体_GB2312" w:hAnsi="楷体_GB2312" w:eastAsia="楷体_GB2312"/>
                <w:bCs/>
                <w:sz w:val="28"/>
                <w:szCs w:val="28"/>
              </w:rPr>
            </w:pPr>
            <w:r>
              <w:rPr>
                <w:rFonts w:eastAsia="黑体" w:ascii="SimHei" w:hAnsi="SimHei"/>
                <w:bCs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1468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财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务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部</w:t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一、有无欠帐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借款</w:t>
            </w:r>
            <w:r>
              <w:rPr>
                <w:rFonts w:ascii="SimHei" w:hAnsi="SimHei" w:eastAsia="黑体"/>
                <w:sz w:val="24"/>
                <w:szCs w:val="24"/>
              </w:rPr>
              <w:t>报销、</w:t>
            </w:r>
            <w:r>
              <w:rPr>
                <w:rFonts w:ascii="SimHei" w:hAnsi="SimHei" w:cs="ˎ̥;Times New Roman" w:eastAsia="黑体"/>
                <w:color w:val="333333"/>
                <w:sz w:val="24"/>
                <w:szCs w:val="24"/>
              </w:rPr>
              <w:t>差旅费等</w:t>
            </w:r>
          </w:p>
          <w:p>
            <w:pPr>
              <w:pStyle w:val="Normal"/>
              <w:spacing w:lineRule="exact" w:line="600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二、有无未清财务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898" w:hRule="atLeast"/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600"/>
              <w:ind w:firstLine="140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办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公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室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、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人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力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资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源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部</w:t>
            </w:r>
          </w:p>
          <w:p>
            <w:pPr>
              <w:pStyle w:val="Normal"/>
              <w:spacing w:lineRule="exact" w:line="600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>一、公司邮箱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/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相关登陆帐号是否已关闭：</w:t>
            </w:r>
          </w:p>
          <w:p>
            <w:pPr>
              <w:pStyle w:val="Normal"/>
              <w:ind w:firstLine="480"/>
              <w:rPr/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 xml:space="preserve">□ 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是      □否</w:t>
            </w:r>
            <w:r>
              <w:rPr>
                <w:rFonts w:ascii="SimHei" w:hAnsi="SimHei" w:eastAsia="黑体"/>
                <w:sz w:val="24"/>
                <w:szCs w:val="24"/>
              </w:rPr>
              <w:t xml:space="preserve">              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sz w:val="24"/>
                <w:szCs w:val="24"/>
              </w:rPr>
              <w:t xml:space="preserve">      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bCs/>
                <w:sz w:val="28"/>
                <w:szCs w:val="28"/>
              </w:rPr>
            </w:pPr>
            <w:r>
              <w:rPr>
                <w:rFonts w:eastAsia="黑体" w:ascii="SimHei" w:hAnsi="SimHei"/>
                <w:bCs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1921" w:hRule="atLeast"/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" w:hAnsi="楷体_GB2312" w:eastAsia="楷体_GB2312"/>
                <w:kern w:val="0"/>
                <w:sz w:val="28"/>
                <w:szCs w:val="28"/>
                <w:lang w:bidi="hi-IN"/>
              </w:rPr>
            </w:pPr>
            <w:r>
              <w:rPr>
                <w:rFonts w:eastAsia="楷体_GB2312" w:ascii="楷体_GB2312" w:hAnsi="楷体_GB2312"/>
                <w:kern w:val="0"/>
                <w:sz w:val="28"/>
                <w:szCs w:val="28"/>
                <w:lang w:bidi="hi-IN"/>
              </w:rPr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numPr>
                <w:ilvl w:val="0"/>
                <w:numId w:val="3"/>
              </w:numPr>
              <w:rPr>
                <w:rFonts w:ascii="楷体_GB2312" w:hAnsi="楷体_GB2312" w:eastAsia="楷体_GB2312" w:cs="Times New Roman"/>
                <w:bCs/>
                <w:kern w:val="2"/>
              </w:rPr>
            </w:pPr>
            <w:r>
              <w:rPr>
                <w:rFonts w:ascii="SimHei" w:hAnsi="SimHei" w:cs="Times New Roman" w:eastAsia="黑体"/>
                <w:bCs/>
                <w:kern w:val="2"/>
              </w:rPr>
              <w:t>员工证、员工手册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 xml:space="preserve">二、协议类型：□劳动合同 □保密协议 □培训协议 </w:t>
            </w:r>
          </w:p>
          <w:p>
            <w:pPr>
              <w:pStyle w:val="Normal"/>
              <w:ind w:firstLine="168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bCs/>
                <w:sz w:val="24"/>
                <w:szCs w:val="24"/>
              </w:rPr>
              <w:t>□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其他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>三、是否违约：□ 是      □否</w:t>
            </w:r>
          </w:p>
          <w:p>
            <w:pPr>
              <w:pStyle w:val="Style15"/>
              <w:rPr>
                <w:rFonts w:ascii="楷体_GB2312" w:hAnsi="楷体_GB2312" w:eastAsia="楷体_GB2312"/>
                <w:bCs/>
              </w:rPr>
            </w:pPr>
            <w:r>
              <w:rPr>
                <w:rFonts w:ascii="SimHei" w:hAnsi="SimHei" w:eastAsia="黑体"/>
                <w:bCs/>
              </w:rPr>
              <w:t>四、违约处理：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2595" w:hRule="atLeast"/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楷体_GB2312" w:hAnsi="楷体_GB2312" w:eastAsia="楷体_GB2312"/>
                <w:kern w:val="0"/>
                <w:sz w:val="28"/>
                <w:szCs w:val="28"/>
                <w:lang w:bidi="hi-IN"/>
              </w:rPr>
            </w:pPr>
            <w:r>
              <w:rPr>
                <w:rFonts w:eastAsia="楷体_GB2312" w:ascii="楷体_GB2312" w:hAnsi="楷体_GB2312"/>
                <w:kern w:val="0"/>
                <w:sz w:val="28"/>
                <w:szCs w:val="28"/>
                <w:lang w:bidi="hi-IN"/>
              </w:rPr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bCs/>
                <w:sz w:val="24"/>
                <w:szCs w:val="24"/>
              </w:rPr>
              <w:t>此部分内容因在员工离职后由经办人员按实际时间填写。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  <w:t>1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、养老手册领取时间：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  <w:t>2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、档案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/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户口转出公司时间：</w:t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  <w:p>
            <w:pPr>
              <w:pStyle w:val="Normal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  <w:t>3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、离职证明</w:t>
            </w:r>
            <w:r>
              <w:rPr>
                <w:rFonts w:eastAsia="黑体" w:ascii="SimHei" w:hAnsi="SimHei"/>
                <w:bCs/>
                <w:sz w:val="24"/>
                <w:szCs w:val="24"/>
              </w:rPr>
              <w:t>/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实习证明开具：</w:t>
            </w:r>
          </w:p>
          <w:p>
            <w:pPr>
              <w:pStyle w:val="Normal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eastAsia="黑体" w:ascii="SimHei" w:hAnsi="SimHei"/>
                <w:sz w:val="24"/>
                <w:szCs w:val="24"/>
              </w:rPr>
              <w:t>4</w:t>
            </w:r>
            <w:r>
              <w:rPr>
                <w:rFonts w:ascii="SimHei" w:hAnsi="SimHei" w:eastAsia="黑体"/>
                <w:sz w:val="24"/>
                <w:szCs w:val="24"/>
              </w:rPr>
              <w:t>、最终工资结算及发放时间：</w:t>
            </w:r>
          </w:p>
          <w:p>
            <w:pPr>
              <w:pStyle w:val="Style15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eastAsia="黑体" w:ascii="SimHei" w:hAnsi="SimHei"/>
                <w:sz w:val="24"/>
                <w:szCs w:val="24"/>
              </w:rPr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ascii="SimHei" w:hAnsi="SimHei"/>
                <w:sz w:val="28"/>
                <w:szCs w:val="28"/>
              </w:rPr>
            </w:r>
          </w:p>
        </w:tc>
      </w:tr>
      <w:tr>
        <w:trPr>
          <w:trHeight w:val="1171" w:hRule="atLeast"/>
          <w:cantSplit w:val="true"/>
        </w:trPr>
        <w:tc>
          <w:tcPr>
            <w:tcW w:w="1018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当月薪资发放说明：</w:t>
            </w:r>
          </w:p>
          <w:p>
            <w:pPr>
              <w:pStyle w:val="Normal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 xml:space="preserve">（  ）按工作日薪资发放； （  ）按半月薪资发放； （  ）按一月薪资发放；  （  ）其他： </w:t>
            </w:r>
          </w:p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eastAsia="黑体" w:cs="楷体_GB2312" w:ascii="SimHei" w:hAnsi="SimHei"/>
                <w:sz w:val="28"/>
                <w:szCs w:val="28"/>
              </w:rPr>
              <w:t xml:space="preserve">                   </w:t>
            </w:r>
            <w:r>
              <w:rPr>
                <w:rFonts w:ascii="SimHei" w:hAnsi="SimHei" w:eastAsia="黑体"/>
                <w:sz w:val="28"/>
                <w:szCs w:val="28"/>
              </w:rPr>
              <w:t>部门经理确认：           日期：</w:t>
            </w:r>
          </w:p>
        </w:tc>
      </w:tr>
      <w:tr>
        <w:trPr>
          <w:trHeight w:val="710" w:hRule="atLeast"/>
          <w:cantSplit w:val="true"/>
        </w:trPr>
        <w:tc>
          <w:tcPr>
            <w:tcW w:w="24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  <w:t>主管总经理</w:t>
            </w:r>
          </w:p>
        </w:tc>
        <w:tc>
          <w:tcPr>
            <w:tcW w:w="7740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ascii="SimHei" w:hAnsi="SimHei" w:eastAsia="黑体"/>
                <w:sz w:val="28"/>
                <w:szCs w:val="28"/>
              </w:rPr>
              <w:t>日期</w:t>
            </w:r>
          </w:p>
        </w:tc>
      </w:tr>
      <w:tr>
        <w:trPr>
          <w:trHeight w:val="2070" w:hRule="atLeast"/>
          <w:cantSplit w:val="true"/>
        </w:trPr>
        <w:tc>
          <w:tcPr>
            <w:tcW w:w="1018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6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备注：以上事项均办理清楚后，方可离职；未办理完善者，未领薪资不予发放，并依公司损失情况要求赔偿。交接表送还综合部存档。若该员工系采购或销售人员，必须将所有帐目交代清楚，并不得将任何商务资料带出公司，否则公司将依损失情况追究其个人法律责任。</w:t>
            </w:r>
            <w:r>
              <w:rPr>
                <w:rFonts w:ascii="SimHei" w:hAnsi="SimHei" w:eastAsia="黑体"/>
                <w:bCs/>
                <w:sz w:val="24"/>
                <w:szCs w:val="24"/>
              </w:rPr>
              <w:t>、签名人的权力和义务：所有涉及的签名人应对自己负责的各项内容考实后进行签字，如有疏忽或不真实情况存在，签名人将承担相关责任。</w:t>
            </w:r>
          </w:p>
          <w:p>
            <w:pPr>
              <w:pStyle w:val="Normal"/>
              <w:ind w:firstLine="7560"/>
              <w:rPr>
                <w:rFonts w:ascii="楷体_GB2312" w:hAnsi="楷体_GB2312" w:eastAsia="楷体_GB2312"/>
                <w:bCs/>
                <w:sz w:val="24"/>
                <w:szCs w:val="24"/>
              </w:rPr>
            </w:pPr>
            <w:r>
              <w:rPr>
                <w:rFonts w:eastAsia="黑体" w:ascii="SimHei" w:hAnsi="SimHei"/>
                <w:bCs/>
                <w:sz w:val="24"/>
                <w:szCs w:val="24"/>
              </w:rPr>
            </w:r>
          </w:p>
        </w:tc>
      </w:tr>
      <w:tr>
        <w:trPr>
          <w:trHeight w:val="1276" w:hRule="atLeast"/>
          <w:cantSplit w:val="true"/>
        </w:trPr>
        <w:tc>
          <w:tcPr>
            <w:tcW w:w="1018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个人承诺</w:t>
            </w:r>
          </w:p>
          <w:p>
            <w:pPr>
              <w:pStyle w:val="Normal"/>
              <w:ind w:firstLine="600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ascii="SimHei" w:hAnsi="SimHei" w:eastAsia="黑体"/>
                <w:sz w:val="24"/>
                <w:szCs w:val="24"/>
              </w:rPr>
              <w:t>我保证：如有违反，公司留有追究相应法律责任的权利；并严格遵守签订的“保密及不竞争协议”。</w:t>
            </w:r>
          </w:p>
          <w:p>
            <w:pPr>
              <w:pStyle w:val="Normal"/>
              <w:ind w:start="6478" w:hanging="1661"/>
              <w:rPr>
                <w:rFonts w:ascii="楷体_GB2312" w:hAnsi="楷体_GB2312" w:eastAsia="楷体_GB2312"/>
                <w:sz w:val="24"/>
                <w:szCs w:val="24"/>
              </w:rPr>
            </w:pPr>
            <w:r>
              <w:rPr>
                <w:rFonts w:eastAsia="黑体" w:cs="楷体_GB2312" w:ascii="SimHei" w:hAnsi="SimHei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SimHei" w:hAnsi="SimHei" w:eastAsia="黑体"/>
                <w:sz w:val="24"/>
                <w:szCs w:val="24"/>
              </w:rPr>
              <w:t>签名：       日期：</w:t>
            </w:r>
          </w:p>
        </w:tc>
      </w:tr>
    </w:tbl>
    <w:p>
      <w:pPr>
        <w:pStyle w:val="Normal"/>
        <w:rPr>
          <w:rFonts w:ascii="楷体_GB2312" w:hAnsi="楷体_GB2312" w:eastAsia="楷体_GB2312"/>
          <w:sz w:val="24"/>
          <w:szCs w:val="24"/>
        </w:rPr>
      </w:pPr>
      <w:r>
        <w:rPr>
          <w:rFonts w:eastAsia="黑体" w:ascii="SimHei" w:hAnsi="SimHei"/>
          <w:sz w:val="24"/>
          <w:szCs w:val="24"/>
        </w:rPr>
      </w:r>
    </w:p>
    <w:sectPr>
      <w:type w:val="nextPage"/>
      <w:pgSz w:w="11906" w:h="16838"/>
      <w:pgMar w:left="851" w:right="851" w:header="0" w:top="397" w:footer="0" w:bottom="39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黑体">
    <w:altName w:val="SimHei"/>
    <w:charset w:val="86"/>
    <w:family w:val="auto"/>
    <w:pitch w:val="variable"/>
  </w:font>
  <w:font w:name="楷体_GB2312">
    <w:charset w:val="86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lvlText w:val="%1、"/>
      <w:lvlJc w:val="start"/>
      <w:pPr>
        <w:tabs>
          <w:tab w:val="num" w:pos="480"/>
        </w:tabs>
        <w:ind w:start="48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>
      <w:widowControl/>
      <w:jc w:val="start"/>
    </w:pPr>
    <w:rPr>
      <w:rFonts w:ascii="宋体;SimSun" w:hAnsi="宋体;SimSun" w:cs="宋体;SimSun"/>
      <w:kern w:val="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2008-01-31T09:48:00Z</dcterms:created>
  <dc:creator>微软用户</dc:creator>
  <dc:description/>
  <cp:keywords> </cp:keywords>
  <dc:language>en-US</dc:language>
  <cp:lastModifiedBy>雨林木风</cp:lastModifiedBy>
  <dcterms:modified xsi:type="dcterms:W3CDTF">2002-01-01T06:36:00Z</dcterms:modified>
  <cp:revision>66</cp:revision>
  <dc:subject/>
  <dc:title>员工离职/调动工作交接表</dc:title>
</cp:coreProperties>
</file>