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lineRule="auto" w:line="240"/>
        <w:rPr/>
      </w:pPr>
      <w:r>
        <w:rPr>
          <w:rFonts w:eastAsia="黑体" w:cs="黑体;SimHei" w:ascii="SimHei" w:hAnsi="SimHei"/>
          <w:b/>
          <w:sz w:val="32"/>
          <w:szCs w:val="32"/>
        </w:rPr>
        <w:t>XX</w:t>
      </w:r>
      <w:r>
        <w:rPr>
          <w:rFonts w:ascii="SimHei" w:hAnsi="SimHei" w:eastAsia="黑体"/>
        </w:rPr>
        <w:t>公司合同管理制度</w:t>
      </w:r>
    </w:p>
    <w:tbl>
      <w:tblPr>
        <w:tblW w:w="9360" w:type="dxa"/>
        <w:jc w:val="center"/>
        <w:tblInd w:w="0" w:type="dxa"/>
        <w:tblLayout w:type="fixed"/>
        <w:tblCellMar>
          <w:top w:w="16" w:type="dxa"/>
          <w:start w:w="16" w:type="dxa"/>
          <w:bottom w:w="0" w:type="dxa"/>
          <w:end w:w="16" w:type="dxa"/>
        </w:tblCellMar>
      </w:tblPr>
      <w:tblGrid>
        <w:gridCol w:w="1800"/>
        <w:gridCol w:w="1139"/>
        <w:gridCol w:w="1231"/>
        <w:gridCol w:w="446"/>
        <w:gridCol w:w="2101"/>
        <w:gridCol w:w="1306"/>
        <w:gridCol w:w="1337"/>
      </w:tblGrid>
      <w:tr>
        <w:trPr>
          <w:trHeight w:val="486" w:hRule="atLeast"/>
          <w:cantSplit w:val="true"/>
        </w:trPr>
        <w:tc>
          <w:tcPr>
            <w:tcW w:w="1800" w:type="dxa"/>
            <w:tcBorders>
              <w:top w:val="double" w:sz="4" w:space="0" w:color="000000"/>
              <w:start w:val="double" w:sz="6"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文件名称</w:t>
            </w:r>
          </w:p>
        </w:tc>
        <w:tc>
          <w:tcPr>
            <w:tcW w:w="7560" w:type="dxa"/>
            <w:gridSpan w:val="6"/>
            <w:tcBorders>
              <w:top w:val="double" w:sz="4" w:space="0" w:color="000000"/>
              <w:bottom w:val="single" w:sz="4" w:space="0" w:color="000000"/>
              <w:end w:val="double" w:sz="6" w:space="0" w:color="000000"/>
            </w:tcBorders>
            <w:vAlign w:val="center"/>
          </w:tcPr>
          <w:p>
            <w:pPr>
              <w:pStyle w:val="Normal"/>
              <w:rPr/>
            </w:pPr>
            <w:r>
              <w:rPr>
                <w:rFonts w:cs="宋体;SimSun" w:ascii="SimHei" w:hAnsi="SimHei" w:eastAsia="黑体"/>
                <w:sz w:val="24"/>
              </w:rPr>
              <w:t>XX</w:t>
            </w:r>
            <w:r>
              <w:rPr>
                <w:rFonts w:ascii="SimHei" w:hAnsi="SimHei" w:cs="宋体;SimSun" w:eastAsia="黑体"/>
                <w:sz w:val="24"/>
              </w:rPr>
              <w:t>公司合同管理制度</w:t>
            </w:r>
          </w:p>
        </w:tc>
      </w:tr>
      <w:tr>
        <w:trPr>
          <w:trHeight w:val="486" w:hRule="atLeast"/>
          <w:cantSplit w:val="true"/>
        </w:trPr>
        <w:tc>
          <w:tcPr>
            <w:tcW w:w="1800" w:type="dxa"/>
            <w:tcBorders>
              <w:start w:val="double" w:sz="6"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文件编码</w:t>
            </w:r>
          </w:p>
        </w:tc>
        <w:tc>
          <w:tcPr>
            <w:tcW w:w="7560" w:type="dxa"/>
            <w:gridSpan w:val="6"/>
            <w:tcBorders>
              <w:bottom w:val="single" w:sz="4" w:space="0" w:color="000000"/>
              <w:end w:val="double" w:sz="6" w:space="0" w:color="000000"/>
            </w:tcBorders>
            <w:vAlign w:val="center"/>
          </w:tcPr>
          <w:p>
            <w:pPr>
              <w:pStyle w:val="Normal"/>
              <w:snapToGrid w:val="false"/>
              <w:rPr>
                <w:rFonts w:ascii="宋体;SimSun" w:hAnsi="宋体;SimSun" w:cs="宋体;SimSun"/>
                <w:sz w:val="24"/>
              </w:rPr>
            </w:pPr>
            <w:r>
              <w:rPr>
                <w:rFonts w:cs="宋体;SimSun" w:ascii="SimHei" w:hAnsi="SimHei" w:eastAsia="黑体"/>
                <w:sz w:val="24"/>
              </w:rPr>
            </w:r>
          </w:p>
        </w:tc>
      </w:tr>
      <w:tr>
        <w:trPr>
          <w:trHeight w:val="486" w:hRule="atLeast"/>
          <w:cantSplit w:val="true"/>
        </w:trPr>
        <w:tc>
          <w:tcPr>
            <w:tcW w:w="1800" w:type="dxa"/>
            <w:tcBorders>
              <w:start w:val="double" w:sz="6"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承办部门</w:t>
            </w:r>
          </w:p>
        </w:tc>
        <w:tc>
          <w:tcPr>
            <w:tcW w:w="2370"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2547" w:type="dxa"/>
            <w:gridSpan w:val="2"/>
            <w:tcBorders>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cs="宋体;SimSun" w:eastAsia="黑体"/>
                <w:sz w:val="24"/>
              </w:rPr>
              <w:t>参加部门</w:t>
            </w:r>
          </w:p>
        </w:tc>
        <w:tc>
          <w:tcPr>
            <w:tcW w:w="2643" w:type="dxa"/>
            <w:gridSpan w:val="2"/>
            <w:tcBorders>
              <w:bottom w:val="single" w:sz="4" w:space="0" w:color="000000"/>
              <w:end w:val="double" w:sz="6"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r>
      <w:tr>
        <w:trPr>
          <w:trHeight w:val="486" w:hRule="atLeast"/>
          <w:cantSplit w:val="true"/>
        </w:trPr>
        <w:tc>
          <w:tcPr>
            <w:tcW w:w="1800" w:type="dxa"/>
            <w:tcBorders>
              <w:start w:val="double" w:sz="6"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起草人</w:t>
            </w:r>
          </w:p>
        </w:tc>
        <w:tc>
          <w:tcPr>
            <w:tcW w:w="2370"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2547" w:type="dxa"/>
            <w:gridSpan w:val="2"/>
            <w:tcBorders>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cs="宋体;SimSun" w:eastAsia="黑体"/>
                <w:sz w:val="24"/>
              </w:rPr>
              <w:t>起草日期</w:t>
            </w:r>
          </w:p>
        </w:tc>
        <w:tc>
          <w:tcPr>
            <w:tcW w:w="2643" w:type="dxa"/>
            <w:gridSpan w:val="2"/>
            <w:tcBorders>
              <w:bottom w:val="single" w:sz="4" w:space="0" w:color="000000"/>
              <w:end w:val="double" w:sz="6"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r>
      <w:tr>
        <w:trPr>
          <w:trHeight w:val="486" w:hRule="atLeast"/>
          <w:cantSplit w:val="true"/>
        </w:trPr>
        <w:tc>
          <w:tcPr>
            <w:tcW w:w="1800" w:type="dxa"/>
            <w:tcBorders>
              <w:start w:val="double" w:sz="6"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审核人</w:t>
            </w:r>
          </w:p>
        </w:tc>
        <w:tc>
          <w:tcPr>
            <w:tcW w:w="2370"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2547" w:type="dxa"/>
            <w:gridSpan w:val="2"/>
            <w:tcBorders>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cs="宋体;SimSun" w:eastAsia="黑体"/>
                <w:sz w:val="24"/>
              </w:rPr>
              <w:t>审核日期</w:t>
            </w:r>
          </w:p>
        </w:tc>
        <w:tc>
          <w:tcPr>
            <w:tcW w:w="2643" w:type="dxa"/>
            <w:gridSpan w:val="2"/>
            <w:tcBorders>
              <w:bottom w:val="single" w:sz="4" w:space="0" w:color="000000"/>
              <w:end w:val="double" w:sz="6"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r>
      <w:tr>
        <w:trPr>
          <w:trHeight w:val="486" w:hRule="atLeast"/>
          <w:cantSplit w:val="true"/>
        </w:trPr>
        <w:tc>
          <w:tcPr>
            <w:tcW w:w="1800" w:type="dxa"/>
            <w:tcBorders>
              <w:top w:val="single" w:sz="4" w:space="0" w:color="000000"/>
              <w:start w:val="double" w:sz="6"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批准执行人</w:t>
            </w:r>
          </w:p>
        </w:tc>
        <w:tc>
          <w:tcPr>
            <w:tcW w:w="2370" w:type="dxa"/>
            <w:gridSpan w:val="2"/>
            <w:tcBorders>
              <w:top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2547" w:type="dxa"/>
            <w:gridSpan w:val="2"/>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cs="宋体;SimSun" w:eastAsia="黑体"/>
                <w:sz w:val="24"/>
              </w:rPr>
              <w:t>批准执行日期</w:t>
            </w:r>
          </w:p>
        </w:tc>
        <w:tc>
          <w:tcPr>
            <w:tcW w:w="2643" w:type="dxa"/>
            <w:gridSpan w:val="2"/>
            <w:tcBorders>
              <w:top w:val="single" w:sz="4" w:space="0" w:color="000000"/>
              <w:bottom w:val="single" w:sz="4" w:space="0" w:color="000000"/>
              <w:end w:val="double" w:sz="6"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r>
      <w:tr>
        <w:trPr>
          <w:trHeight w:val="486" w:hRule="atLeast"/>
          <w:cantSplit w:val="true"/>
        </w:trPr>
        <w:tc>
          <w:tcPr>
            <w:tcW w:w="9360" w:type="dxa"/>
            <w:gridSpan w:val="7"/>
            <w:tcBorders>
              <w:top w:val="single" w:sz="4" w:space="0" w:color="000000"/>
              <w:start w:val="double" w:sz="6" w:space="0" w:color="000000"/>
              <w:bottom w:val="single" w:sz="4" w:space="0" w:color="000000"/>
              <w:end w:val="double" w:sz="6" w:space="0" w:color="000000"/>
            </w:tcBorders>
            <w:vAlign w:val="center"/>
          </w:tcPr>
          <w:p>
            <w:pPr>
              <w:pStyle w:val="Normal"/>
              <w:snapToGrid w:val="false"/>
              <w:jc w:val="center"/>
              <w:rPr>
                <w:sz w:val="24"/>
              </w:rPr>
            </w:pPr>
            <w:r>
              <w:rPr>
                <w:rFonts w:ascii="SimHei" w:hAnsi="SimHei" w:eastAsia="黑体"/>
                <w:sz w:val="24"/>
              </w:rPr>
            </w:r>
          </w:p>
        </w:tc>
      </w:tr>
      <w:tr>
        <w:trPr>
          <w:trHeight w:val="486" w:hRule="atLeast"/>
          <w:cantSplit w:val="true"/>
        </w:trPr>
        <w:tc>
          <w:tcPr>
            <w:tcW w:w="1800" w:type="dxa"/>
            <w:tcBorders>
              <w:top w:val="single" w:sz="4" w:space="0" w:color="000000"/>
              <w:start w:val="double" w:sz="6"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修订版本号</w:t>
            </w:r>
          </w:p>
        </w:tc>
        <w:tc>
          <w:tcPr>
            <w:tcW w:w="2370" w:type="dxa"/>
            <w:gridSpan w:val="2"/>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eastAsia="黑体"/>
                <w:sz w:val="24"/>
              </w:rPr>
              <w:t>修订原因及内容</w:t>
            </w:r>
          </w:p>
        </w:tc>
        <w:tc>
          <w:tcPr>
            <w:tcW w:w="2547" w:type="dxa"/>
            <w:gridSpan w:val="2"/>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eastAsia="黑体"/>
                <w:sz w:val="24"/>
              </w:rPr>
              <w:t>修订人</w:t>
            </w:r>
          </w:p>
        </w:tc>
        <w:tc>
          <w:tcPr>
            <w:tcW w:w="2643" w:type="dxa"/>
            <w:gridSpan w:val="2"/>
            <w:tcBorders>
              <w:top w:val="single" w:sz="4" w:space="0" w:color="000000"/>
              <w:bottom w:val="single" w:sz="4" w:space="0" w:color="000000"/>
              <w:end w:val="double" w:sz="6" w:space="0" w:color="000000"/>
            </w:tcBorders>
            <w:vAlign w:val="center"/>
          </w:tcPr>
          <w:p>
            <w:pPr>
              <w:pStyle w:val="Normal"/>
              <w:jc w:val="center"/>
              <w:rPr>
                <w:sz w:val="24"/>
              </w:rPr>
            </w:pPr>
            <w:r>
              <w:rPr>
                <w:rFonts w:ascii="SimHei" w:hAnsi="SimHei" w:eastAsia="黑体"/>
                <w:sz w:val="24"/>
              </w:rPr>
              <w:t>修订执行日期</w:t>
            </w:r>
          </w:p>
        </w:tc>
      </w:tr>
      <w:tr>
        <w:trPr>
          <w:trHeight w:val="486" w:hRule="atLeast"/>
          <w:cantSplit w:val="true"/>
        </w:trPr>
        <w:tc>
          <w:tcPr>
            <w:tcW w:w="1800" w:type="dxa"/>
            <w:tcBorders>
              <w:top w:val="single" w:sz="4" w:space="0" w:color="000000"/>
              <w:start w:val="double" w:sz="6"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00</w:t>
            </w:r>
          </w:p>
        </w:tc>
        <w:tc>
          <w:tcPr>
            <w:tcW w:w="2370" w:type="dxa"/>
            <w:gridSpan w:val="2"/>
            <w:tcBorders>
              <w:top w:val="single" w:sz="4"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制度制订</w:t>
            </w:r>
          </w:p>
        </w:tc>
        <w:tc>
          <w:tcPr>
            <w:tcW w:w="2547"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643" w:type="dxa"/>
            <w:gridSpan w:val="2"/>
            <w:tcBorders>
              <w:top w:val="single" w:sz="4" w:space="0" w:color="000000"/>
              <w:bottom w:val="single" w:sz="4" w:space="0" w:color="000000"/>
              <w:end w:val="double" w:sz="6" w:space="0" w:color="000000"/>
            </w:tcBorders>
            <w:vAlign w:val="center"/>
          </w:tcPr>
          <w:p>
            <w:pPr>
              <w:pStyle w:val="Normal"/>
              <w:snapToGrid w:val="false"/>
              <w:jc w:val="center"/>
              <w:rPr>
                <w:sz w:val="24"/>
              </w:rPr>
            </w:pPr>
            <w:r>
              <w:rPr>
                <w:rFonts w:ascii="SimHei" w:hAnsi="SimHei" w:eastAsia="黑体"/>
                <w:sz w:val="24"/>
              </w:rPr>
            </w:r>
          </w:p>
        </w:tc>
      </w:tr>
      <w:tr>
        <w:trPr>
          <w:trHeight w:val="486" w:hRule="atLeast"/>
          <w:cantSplit w:val="true"/>
        </w:trPr>
        <w:tc>
          <w:tcPr>
            <w:tcW w:w="1800"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370"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547"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643" w:type="dxa"/>
            <w:gridSpan w:val="2"/>
            <w:tcBorders>
              <w:top w:val="single" w:sz="4" w:space="0" w:color="000000"/>
              <w:bottom w:val="single" w:sz="4" w:space="0" w:color="000000"/>
              <w:end w:val="double" w:sz="6" w:space="0" w:color="000000"/>
            </w:tcBorders>
            <w:vAlign w:val="center"/>
          </w:tcPr>
          <w:p>
            <w:pPr>
              <w:pStyle w:val="Normal"/>
              <w:snapToGrid w:val="false"/>
              <w:jc w:val="center"/>
              <w:rPr>
                <w:sz w:val="24"/>
              </w:rPr>
            </w:pPr>
            <w:r>
              <w:rPr>
                <w:rFonts w:ascii="SimHei" w:hAnsi="SimHei" w:eastAsia="黑体"/>
                <w:sz w:val="24"/>
              </w:rPr>
            </w:r>
          </w:p>
        </w:tc>
      </w:tr>
      <w:tr>
        <w:trPr>
          <w:trHeight w:val="486" w:hRule="atLeast"/>
          <w:cantSplit w:val="true"/>
        </w:trPr>
        <w:tc>
          <w:tcPr>
            <w:tcW w:w="1800"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370"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547"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643" w:type="dxa"/>
            <w:gridSpan w:val="2"/>
            <w:tcBorders>
              <w:top w:val="single" w:sz="4" w:space="0" w:color="000000"/>
              <w:bottom w:val="single" w:sz="4" w:space="0" w:color="000000"/>
              <w:end w:val="double" w:sz="6" w:space="0" w:color="000000"/>
            </w:tcBorders>
            <w:vAlign w:val="center"/>
          </w:tcPr>
          <w:p>
            <w:pPr>
              <w:pStyle w:val="Normal"/>
              <w:snapToGrid w:val="false"/>
              <w:jc w:val="center"/>
              <w:rPr>
                <w:sz w:val="24"/>
              </w:rPr>
            </w:pPr>
            <w:r>
              <w:rPr>
                <w:rFonts w:ascii="SimHei" w:hAnsi="SimHei" w:eastAsia="黑体"/>
                <w:sz w:val="24"/>
              </w:rPr>
            </w:r>
          </w:p>
        </w:tc>
      </w:tr>
      <w:tr>
        <w:trPr>
          <w:trHeight w:val="486" w:hRule="atLeast"/>
          <w:cantSplit w:val="true"/>
        </w:trPr>
        <w:tc>
          <w:tcPr>
            <w:tcW w:w="1800"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370"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547"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643" w:type="dxa"/>
            <w:gridSpan w:val="2"/>
            <w:tcBorders>
              <w:top w:val="single" w:sz="4" w:space="0" w:color="000000"/>
              <w:bottom w:val="single" w:sz="4" w:space="0" w:color="000000"/>
              <w:end w:val="double" w:sz="6" w:space="0" w:color="000000"/>
            </w:tcBorders>
            <w:vAlign w:val="center"/>
          </w:tcPr>
          <w:p>
            <w:pPr>
              <w:pStyle w:val="Normal"/>
              <w:snapToGrid w:val="false"/>
              <w:jc w:val="center"/>
              <w:rPr>
                <w:sz w:val="24"/>
              </w:rPr>
            </w:pPr>
            <w:r>
              <w:rPr>
                <w:rFonts w:ascii="SimHei" w:hAnsi="SimHei" w:eastAsia="黑体"/>
                <w:sz w:val="24"/>
              </w:rPr>
            </w:r>
          </w:p>
        </w:tc>
      </w:tr>
      <w:tr>
        <w:trPr>
          <w:trHeight w:val="486" w:hRule="atLeast"/>
          <w:cantSplit w:val="true"/>
        </w:trPr>
        <w:tc>
          <w:tcPr>
            <w:tcW w:w="1800"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370"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547"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643" w:type="dxa"/>
            <w:gridSpan w:val="2"/>
            <w:tcBorders>
              <w:top w:val="single" w:sz="4" w:space="0" w:color="000000"/>
              <w:bottom w:val="single" w:sz="4" w:space="0" w:color="000000"/>
              <w:end w:val="double" w:sz="6" w:space="0" w:color="000000"/>
            </w:tcBorders>
            <w:vAlign w:val="center"/>
          </w:tcPr>
          <w:p>
            <w:pPr>
              <w:pStyle w:val="Normal"/>
              <w:snapToGrid w:val="false"/>
              <w:jc w:val="center"/>
              <w:rPr>
                <w:sz w:val="24"/>
              </w:rPr>
            </w:pPr>
            <w:r>
              <w:rPr>
                <w:rFonts w:ascii="SimHei" w:hAnsi="SimHei" w:eastAsia="黑体"/>
                <w:sz w:val="24"/>
              </w:rPr>
            </w:r>
          </w:p>
        </w:tc>
      </w:tr>
      <w:tr>
        <w:trPr>
          <w:trHeight w:val="486" w:hRule="atLeast"/>
          <w:cantSplit w:val="true"/>
        </w:trPr>
        <w:tc>
          <w:tcPr>
            <w:tcW w:w="1800" w:type="dxa"/>
            <w:tcBorders>
              <w:top w:val="single" w:sz="4" w:space="0" w:color="000000"/>
              <w:start w:val="double" w:sz="6"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370"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547" w:type="dxa"/>
            <w:gridSpan w:val="2"/>
            <w:tcBorders>
              <w:top w:val="single" w:sz="4" w:space="0" w:color="000000"/>
              <w:bottom w:val="single" w:sz="4"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2643" w:type="dxa"/>
            <w:gridSpan w:val="2"/>
            <w:tcBorders>
              <w:top w:val="single" w:sz="4" w:space="0" w:color="000000"/>
              <w:bottom w:val="single" w:sz="4" w:space="0" w:color="000000"/>
              <w:end w:val="double" w:sz="6" w:space="0" w:color="000000"/>
            </w:tcBorders>
            <w:vAlign w:val="center"/>
          </w:tcPr>
          <w:p>
            <w:pPr>
              <w:pStyle w:val="Normal"/>
              <w:snapToGrid w:val="false"/>
              <w:jc w:val="center"/>
              <w:rPr>
                <w:sz w:val="24"/>
              </w:rPr>
            </w:pPr>
            <w:r>
              <w:rPr>
                <w:rFonts w:ascii="SimHei" w:hAnsi="SimHei" w:eastAsia="黑体"/>
                <w:sz w:val="24"/>
              </w:rPr>
            </w:r>
          </w:p>
        </w:tc>
      </w:tr>
      <w:tr>
        <w:trPr>
          <w:trHeight w:val="486" w:hRule="atLeast"/>
          <w:cantSplit w:val="true"/>
        </w:trPr>
        <w:tc>
          <w:tcPr>
            <w:tcW w:w="9360" w:type="dxa"/>
            <w:gridSpan w:val="7"/>
            <w:tcBorders>
              <w:start w:val="double" w:sz="6" w:space="0" w:color="000000"/>
              <w:bottom w:val="single" w:sz="4" w:space="0" w:color="000000"/>
              <w:end w:val="double" w:sz="6" w:space="0" w:color="000000"/>
            </w:tcBorders>
            <w:vAlign w:val="center"/>
          </w:tcPr>
          <w:p>
            <w:pPr>
              <w:pStyle w:val="Normal"/>
              <w:jc w:val="center"/>
              <w:rPr>
                <w:sz w:val="24"/>
              </w:rPr>
            </w:pPr>
            <w:r>
              <w:rPr>
                <w:rFonts w:ascii="SimHei" w:hAnsi="SimHei" w:eastAsia="黑体"/>
                <w:sz w:val="24"/>
              </w:rPr>
              <w:t>制度分发部门</w:t>
            </w:r>
          </w:p>
        </w:tc>
      </w:tr>
      <w:tr>
        <w:trPr>
          <w:trHeight w:val="486" w:hRule="atLeast"/>
          <w:cantSplit w:val="true"/>
        </w:trPr>
        <w:tc>
          <w:tcPr>
            <w:tcW w:w="2939" w:type="dxa"/>
            <w:gridSpan w:val="2"/>
            <w:tcBorders>
              <w:start w:val="double" w:sz="6" w:space="0" w:color="000000"/>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cs="宋体;SimSun" w:eastAsia="黑体"/>
                <w:sz w:val="24"/>
              </w:rPr>
              <w:t>投资部</w:t>
            </w:r>
          </w:p>
        </w:tc>
        <w:tc>
          <w:tcPr>
            <w:tcW w:w="1677" w:type="dxa"/>
            <w:gridSpan w:val="2"/>
            <w:tcBorders>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eastAsia="黑体"/>
                <w:sz w:val="24"/>
              </w:rPr>
              <w:t>【</w:t>
            </w:r>
            <w:r>
              <w:rPr>
                <w:rFonts w:eastAsia="黑体" w:ascii="SimHei" w:hAnsi="SimHei"/>
                <w:sz w:val="24"/>
              </w:rPr>
              <w:t xml:space="preserve">  </w:t>
            </w:r>
            <w:r>
              <w:rPr>
                <w:rFonts w:ascii="SimHei" w:hAnsi="SimHei" w:eastAsia="黑体"/>
                <w:sz w:val="24"/>
              </w:rPr>
              <w:t>】</w:t>
            </w:r>
          </w:p>
        </w:tc>
        <w:tc>
          <w:tcPr>
            <w:tcW w:w="3407" w:type="dxa"/>
            <w:gridSpan w:val="2"/>
            <w:tcBorders>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eastAsia="黑体"/>
                <w:sz w:val="24"/>
              </w:rPr>
              <w:t>财务部</w:t>
            </w:r>
          </w:p>
        </w:tc>
        <w:tc>
          <w:tcPr>
            <w:tcW w:w="1337" w:type="dxa"/>
            <w:tcBorders>
              <w:bottom w:val="single" w:sz="4" w:space="0" w:color="000000"/>
              <w:end w:val="double" w:sz="6" w:space="0" w:color="000000"/>
            </w:tcBorders>
            <w:vAlign w:val="center"/>
          </w:tcPr>
          <w:p>
            <w:pPr>
              <w:pStyle w:val="Normal"/>
              <w:jc w:val="center"/>
              <w:rPr>
                <w:rFonts w:ascii="宋体;SimSun" w:hAnsi="宋体;SimSun" w:cs="宋体;SimSun"/>
                <w:sz w:val="24"/>
              </w:rPr>
            </w:pPr>
            <w:r>
              <w:rPr>
                <w:rFonts w:ascii="SimHei" w:hAnsi="SimHei" w:eastAsia="黑体"/>
                <w:sz w:val="24"/>
              </w:rPr>
              <w:t>【</w:t>
            </w:r>
            <w:r>
              <w:rPr>
                <w:rFonts w:eastAsia="黑体" w:ascii="SimHei" w:hAnsi="SimHei"/>
                <w:sz w:val="24"/>
              </w:rPr>
              <w:t xml:space="preserve">  </w:t>
            </w:r>
            <w:r>
              <w:rPr>
                <w:rFonts w:ascii="SimHei" w:hAnsi="SimHei" w:eastAsia="黑体"/>
                <w:sz w:val="24"/>
              </w:rPr>
              <w:t>】</w:t>
            </w:r>
          </w:p>
        </w:tc>
      </w:tr>
      <w:tr>
        <w:trPr>
          <w:trHeight w:val="486" w:hRule="atLeast"/>
          <w:cantSplit w:val="true"/>
        </w:trPr>
        <w:tc>
          <w:tcPr>
            <w:tcW w:w="2939" w:type="dxa"/>
            <w:gridSpan w:val="2"/>
            <w:tcBorders>
              <w:start w:val="double" w:sz="6" w:space="0" w:color="000000"/>
              <w:bottom w:val="single" w:sz="4" w:space="0" w:color="000000"/>
              <w:end w:val="single" w:sz="4" w:space="0" w:color="000000"/>
            </w:tcBorders>
            <w:vAlign w:val="center"/>
          </w:tcPr>
          <w:p>
            <w:pPr>
              <w:pStyle w:val="Normal"/>
              <w:jc w:val="center"/>
              <w:rPr>
                <w:sz w:val="24"/>
              </w:rPr>
            </w:pPr>
            <w:r>
              <w:rPr>
                <w:rFonts w:ascii="SimHei" w:hAnsi="SimHei" w:eastAsia="黑体"/>
                <w:sz w:val="24"/>
              </w:rPr>
              <w:t>战略研究部</w:t>
            </w:r>
          </w:p>
        </w:tc>
        <w:tc>
          <w:tcPr>
            <w:tcW w:w="1677" w:type="dxa"/>
            <w:gridSpan w:val="2"/>
            <w:tcBorders>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eastAsia="黑体"/>
                <w:sz w:val="24"/>
              </w:rPr>
              <w:t>【</w:t>
            </w:r>
            <w:r>
              <w:rPr>
                <w:rFonts w:eastAsia="黑体" w:ascii="SimHei" w:hAnsi="SimHei"/>
                <w:sz w:val="24"/>
              </w:rPr>
              <w:t xml:space="preserve">  </w:t>
            </w:r>
            <w:r>
              <w:rPr>
                <w:rFonts w:ascii="SimHei" w:hAnsi="SimHei" w:eastAsia="黑体"/>
                <w:sz w:val="24"/>
              </w:rPr>
              <w:t>】</w:t>
            </w:r>
          </w:p>
        </w:tc>
        <w:tc>
          <w:tcPr>
            <w:tcW w:w="3407" w:type="dxa"/>
            <w:gridSpan w:val="2"/>
            <w:tcBorders>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cs="宋体;SimSun" w:eastAsia="黑体"/>
                <w:sz w:val="24"/>
              </w:rPr>
              <w:t>商业地产部</w:t>
            </w:r>
          </w:p>
        </w:tc>
        <w:tc>
          <w:tcPr>
            <w:tcW w:w="1337" w:type="dxa"/>
            <w:tcBorders>
              <w:bottom w:val="single" w:sz="4" w:space="0" w:color="000000"/>
              <w:end w:val="double" w:sz="6" w:space="0" w:color="000000"/>
            </w:tcBorders>
            <w:vAlign w:val="center"/>
          </w:tcPr>
          <w:p>
            <w:pPr>
              <w:pStyle w:val="Normal"/>
              <w:jc w:val="center"/>
              <w:rPr>
                <w:rFonts w:ascii="宋体;SimSun" w:hAnsi="宋体;SimSun" w:cs="宋体;SimSun"/>
                <w:sz w:val="24"/>
              </w:rPr>
            </w:pPr>
            <w:r>
              <w:rPr>
                <w:rFonts w:ascii="SimHei" w:hAnsi="SimHei" w:eastAsia="黑体"/>
                <w:sz w:val="24"/>
              </w:rPr>
              <w:t>【</w:t>
            </w:r>
            <w:r>
              <w:rPr>
                <w:rFonts w:eastAsia="黑体" w:ascii="SimHei" w:hAnsi="SimHei"/>
                <w:sz w:val="24"/>
              </w:rPr>
              <w:t xml:space="preserve">  </w:t>
            </w:r>
            <w:r>
              <w:rPr>
                <w:rFonts w:ascii="SimHei" w:hAnsi="SimHei" w:eastAsia="黑体"/>
                <w:sz w:val="24"/>
              </w:rPr>
              <w:t>】</w:t>
            </w:r>
          </w:p>
        </w:tc>
      </w:tr>
      <w:tr>
        <w:trPr>
          <w:trHeight w:val="486" w:hRule="atLeast"/>
          <w:cantSplit w:val="true"/>
        </w:trPr>
        <w:tc>
          <w:tcPr>
            <w:tcW w:w="2939" w:type="dxa"/>
            <w:gridSpan w:val="2"/>
            <w:tcBorders>
              <w:start w:val="double" w:sz="6" w:space="0" w:color="000000"/>
              <w:bottom w:val="single" w:sz="4" w:space="0" w:color="000000"/>
              <w:end w:val="single" w:sz="4" w:space="0" w:color="000000"/>
            </w:tcBorders>
            <w:vAlign w:val="center"/>
          </w:tcPr>
          <w:p>
            <w:pPr>
              <w:pStyle w:val="Normal"/>
              <w:rPr>
                <w:sz w:val="24"/>
              </w:rPr>
            </w:pPr>
            <w:r>
              <w:rPr>
                <w:rFonts w:eastAsia="黑体" w:ascii="SimHei" w:hAnsi="SimHei"/>
                <w:sz w:val="24"/>
              </w:rPr>
              <w:t xml:space="preserve">       </w:t>
            </w:r>
            <w:r>
              <w:rPr>
                <w:rFonts w:ascii="SimHei" w:hAnsi="SimHei" w:eastAsia="黑体"/>
                <w:sz w:val="24"/>
              </w:rPr>
              <w:t>电子商务部</w:t>
            </w:r>
          </w:p>
        </w:tc>
        <w:tc>
          <w:tcPr>
            <w:tcW w:w="1677" w:type="dxa"/>
            <w:gridSpan w:val="2"/>
            <w:tcBorders>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eastAsia="黑体"/>
                <w:sz w:val="24"/>
              </w:rPr>
              <w:t>【</w:t>
            </w:r>
            <w:r>
              <w:rPr>
                <w:rFonts w:eastAsia="黑体" w:ascii="SimHei" w:hAnsi="SimHei"/>
                <w:sz w:val="24"/>
              </w:rPr>
              <w:t xml:space="preserve">  </w:t>
            </w:r>
            <w:r>
              <w:rPr>
                <w:rFonts w:ascii="SimHei" w:hAnsi="SimHei" w:eastAsia="黑体"/>
                <w:sz w:val="24"/>
              </w:rPr>
              <w:t>】</w:t>
            </w:r>
          </w:p>
        </w:tc>
        <w:tc>
          <w:tcPr>
            <w:tcW w:w="3407" w:type="dxa"/>
            <w:gridSpan w:val="2"/>
            <w:tcBorders>
              <w:bottom w:val="single" w:sz="4" w:space="0" w:color="000000"/>
              <w:end w:val="single" w:sz="4" w:space="0" w:color="000000"/>
            </w:tcBorders>
            <w:vAlign w:val="center"/>
          </w:tcPr>
          <w:p>
            <w:pPr>
              <w:pStyle w:val="Normal"/>
              <w:jc w:val="center"/>
              <w:rPr>
                <w:rFonts w:ascii="宋体;SimSun" w:hAnsi="宋体;SimSun" w:cs="宋体;SimSun"/>
                <w:sz w:val="24"/>
              </w:rPr>
            </w:pPr>
            <w:r>
              <w:rPr>
                <w:rFonts w:ascii="SimHei" w:hAnsi="SimHei" w:eastAsia="黑体"/>
                <w:sz w:val="24"/>
              </w:rPr>
              <w:t>行政人事部</w:t>
            </w:r>
          </w:p>
        </w:tc>
        <w:tc>
          <w:tcPr>
            <w:tcW w:w="1337" w:type="dxa"/>
            <w:tcBorders>
              <w:bottom w:val="single" w:sz="4" w:space="0" w:color="000000"/>
              <w:end w:val="double" w:sz="6" w:space="0" w:color="000000"/>
            </w:tcBorders>
            <w:vAlign w:val="center"/>
          </w:tcPr>
          <w:p>
            <w:pPr>
              <w:pStyle w:val="Normal"/>
              <w:jc w:val="center"/>
              <w:rPr>
                <w:rFonts w:ascii="宋体;SimSun" w:hAnsi="宋体;SimSun" w:cs="宋体;SimSun"/>
                <w:sz w:val="24"/>
              </w:rPr>
            </w:pPr>
            <w:r>
              <w:rPr>
                <w:rFonts w:ascii="SimHei" w:hAnsi="SimHei" w:eastAsia="黑体"/>
                <w:sz w:val="24"/>
              </w:rPr>
              <w:t>【</w:t>
            </w:r>
            <w:r>
              <w:rPr>
                <w:rFonts w:eastAsia="黑体" w:ascii="SimHei" w:hAnsi="SimHei"/>
                <w:sz w:val="24"/>
              </w:rPr>
              <w:t xml:space="preserve">  </w:t>
            </w:r>
            <w:r>
              <w:rPr>
                <w:rFonts w:ascii="SimHei" w:hAnsi="SimHei" w:eastAsia="黑体"/>
                <w:sz w:val="24"/>
              </w:rPr>
              <w:t>】</w:t>
            </w:r>
          </w:p>
        </w:tc>
      </w:tr>
      <w:tr>
        <w:trPr>
          <w:trHeight w:val="486" w:hRule="atLeast"/>
          <w:cantSplit w:val="true"/>
        </w:trPr>
        <w:tc>
          <w:tcPr>
            <w:tcW w:w="2939" w:type="dxa"/>
            <w:gridSpan w:val="2"/>
            <w:tcBorders>
              <w:start w:val="double" w:sz="6"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cs="宋体;SimSun" w:ascii="SimHei" w:hAnsi="SimHei" w:eastAsia="黑体"/>
                <w:sz w:val="24"/>
              </w:rPr>
            </w:r>
          </w:p>
        </w:tc>
        <w:tc>
          <w:tcPr>
            <w:tcW w:w="1677"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3407"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1337" w:type="dxa"/>
            <w:tcBorders>
              <w:bottom w:val="single" w:sz="4" w:space="0" w:color="000000"/>
              <w:end w:val="double" w:sz="6"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r>
      <w:tr>
        <w:trPr>
          <w:trHeight w:val="486" w:hRule="atLeast"/>
          <w:cantSplit w:val="true"/>
        </w:trPr>
        <w:tc>
          <w:tcPr>
            <w:tcW w:w="2939" w:type="dxa"/>
            <w:gridSpan w:val="2"/>
            <w:tcBorders>
              <w:start w:val="double" w:sz="6"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cs="宋体;SimSun" w:ascii="SimHei" w:hAnsi="SimHei" w:eastAsia="黑体"/>
                <w:sz w:val="24"/>
              </w:rPr>
            </w:r>
          </w:p>
        </w:tc>
        <w:tc>
          <w:tcPr>
            <w:tcW w:w="1677"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3407"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1337" w:type="dxa"/>
            <w:tcBorders>
              <w:bottom w:val="single" w:sz="4" w:space="0" w:color="000000"/>
              <w:end w:val="double" w:sz="6"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r>
      <w:tr>
        <w:trPr>
          <w:trHeight w:val="486" w:hRule="atLeast"/>
          <w:cantSplit w:val="true"/>
        </w:trPr>
        <w:tc>
          <w:tcPr>
            <w:tcW w:w="2939" w:type="dxa"/>
            <w:gridSpan w:val="2"/>
            <w:tcBorders>
              <w:start w:val="double" w:sz="6" w:space="0" w:color="000000"/>
              <w:bottom w:val="single" w:sz="4" w:space="0" w:color="000000"/>
              <w:end w:val="single" w:sz="4" w:space="0" w:color="000000"/>
            </w:tcBorders>
            <w:vAlign w:val="center"/>
          </w:tcPr>
          <w:p>
            <w:pPr>
              <w:pStyle w:val="Normal"/>
              <w:snapToGrid w:val="false"/>
              <w:rPr>
                <w:rFonts w:ascii="宋体;SimSun" w:hAnsi="宋体;SimSun" w:cs="宋体;SimSun"/>
                <w:sz w:val="24"/>
              </w:rPr>
            </w:pPr>
            <w:r>
              <w:rPr>
                <w:rFonts w:cs="宋体;SimSun" w:ascii="SimHei" w:hAnsi="SimHei" w:eastAsia="黑体"/>
                <w:sz w:val="24"/>
              </w:rPr>
            </w:r>
          </w:p>
        </w:tc>
        <w:tc>
          <w:tcPr>
            <w:tcW w:w="1677"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3407"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c>
          <w:tcPr>
            <w:tcW w:w="1337" w:type="dxa"/>
            <w:tcBorders>
              <w:bottom w:val="single" w:sz="4" w:space="0" w:color="000000"/>
              <w:end w:val="double" w:sz="6" w:space="0" w:color="000000"/>
            </w:tcBorders>
            <w:vAlign w:val="center"/>
          </w:tcPr>
          <w:p>
            <w:pPr>
              <w:pStyle w:val="Normal"/>
              <w:snapToGrid w:val="false"/>
              <w:jc w:val="center"/>
              <w:rPr>
                <w:rFonts w:ascii="宋体;SimSun" w:hAnsi="宋体;SimSun" w:cs="宋体;SimSun"/>
                <w:sz w:val="24"/>
              </w:rPr>
            </w:pPr>
            <w:r>
              <w:rPr>
                <w:rFonts w:cs="宋体;SimSun" w:ascii="SimHei" w:hAnsi="SimHei" w:eastAsia="黑体"/>
                <w:sz w:val="24"/>
              </w:rPr>
            </w:r>
          </w:p>
        </w:tc>
      </w:tr>
      <w:tr>
        <w:trPr>
          <w:trHeight w:val="534" w:hRule="atLeast"/>
          <w:cantSplit w:val="true"/>
        </w:trPr>
        <w:tc>
          <w:tcPr>
            <w:tcW w:w="2939" w:type="dxa"/>
            <w:gridSpan w:val="2"/>
            <w:tcBorders>
              <w:start w:val="double" w:sz="6" w:space="0" w:color="000000"/>
              <w:bottom w:val="double" w:sz="6" w:space="0" w:color="000000"/>
              <w:end w:val="single" w:sz="4" w:space="0" w:color="000000"/>
            </w:tcBorders>
            <w:vAlign w:val="center"/>
          </w:tcPr>
          <w:p>
            <w:pPr>
              <w:pStyle w:val="Normal"/>
              <w:snapToGrid w:val="false"/>
              <w:rPr>
                <w:rFonts w:ascii="宋体;SimSun" w:hAnsi="宋体;SimSun" w:cs="宋体;SimSun"/>
                <w:sz w:val="24"/>
              </w:rPr>
            </w:pPr>
            <w:r>
              <w:rPr>
                <w:rFonts w:cs="宋体;SimSun" w:ascii="SimHei" w:hAnsi="SimHei" w:eastAsia="黑体"/>
                <w:sz w:val="24"/>
              </w:rPr>
            </w:r>
          </w:p>
        </w:tc>
        <w:tc>
          <w:tcPr>
            <w:tcW w:w="1677" w:type="dxa"/>
            <w:gridSpan w:val="2"/>
            <w:tcBorders>
              <w:bottom w:val="double" w:sz="6"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3407" w:type="dxa"/>
            <w:gridSpan w:val="2"/>
            <w:tcBorders>
              <w:bottom w:val="double" w:sz="6" w:space="0" w:color="000000"/>
              <w:end w:val="single" w:sz="4" w:space="0" w:color="000000"/>
            </w:tcBorders>
            <w:vAlign w:val="center"/>
          </w:tcPr>
          <w:p>
            <w:pPr>
              <w:pStyle w:val="Normal"/>
              <w:snapToGrid w:val="false"/>
              <w:jc w:val="center"/>
              <w:rPr>
                <w:sz w:val="24"/>
              </w:rPr>
            </w:pPr>
            <w:r>
              <w:rPr>
                <w:rFonts w:ascii="SimHei" w:hAnsi="SimHei" w:eastAsia="黑体"/>
                <w:sz w:val="24"/>
              </w:rPr>
            </w:r>
          </w:p>
        </w:tc>
        <w:tc>
          <w:tcPr>
            <w:tcW w:w="1337" w:type="dxa"/>
            <w:tcBorders>
              <w:bottom w:val="double" w:sz="6" w:space="0" w:color="000000"/>
              <w:end w:val="double" w:sz="6" w:space="0" w:color="000000"/>
            </w:tcBorders>
            <w:vAlign w:val="center"/>
          </w:tcPr>
          <w:p>
            <w:pPr>
              <w:pStyle w:val="Normal"/>
              <w:jc w:val="center"/>
              <w:rPr>
                <w:sz w:val="24"/>
              </w:rPr>
            </w:pPr>
            <w:r>
              <w:rPr>
                <w:rFonts w:ascii="SimHei" w:hAnsi="SimHei" w:eastAsia="黑体"/>
              </w:rPr>
              <w:t xml:space="preserve">　</w:t>
            </w:r>
          </w:p>
        </w:tc>
      </w:tr>
    </w:tbl>
    <w:p>
      <w:pPr>
        <w:pStyle w:val="Normal"/>
        <w:rPr/>
      </w:pPr>
      <w:r>
        <w:rPr>
          <w:rFonts w:ascii="SimHei" w:hAnsi="SimHei" w:eastAsia="黑体"/>
        </w:rPr>
      </w:r>
      <w:r>
        <w:rPr>
          <w:rFonts w:ascii="SimHei" w:hAnsi="SimHei" w:eastAsia="黑体"/>
        </w:rPr>
      </w:r>
    </w:p>
    <w:p>
      <w:pPr>
        <w:pStyle w:val="Heading1"/>
        <w:spacing w:lineRule="auto" w:line="240" w:before="200" w:after="200"/>
        <w:rPr>
          <w:rFonts w:ascii="黑体;SimHei" w:hAnsi="黑体;SimHei" w:eastAsia="黑体;SimHei" w:cs="黑体;SimHei"/>
          <w:b/>
          <w:b/>
          <w:szCs w:val="28"/>
        </w:rPr>
      </w:pPr>
      <w:r>
        <w:rPr>
          <w:rFonts w:eastAsia="黑体" w:cs="黑体;SimHei" w:ascii="SimHei" w:hAnsi="SimHei"/>
          <w:b/>
          <w:szCs w:val="28"/>
        </w:rPr>
      </w:r>
    </w:p>
    <w:p>
      <w:pPr>
        <w:pStyle w:val="Heading1"/>
        <w:spacing w:lineRule="auto" w:line="240" w:before="200" w:after="200"/>
        <w:rPr>
          <w:rFonts w:ascii="黑体;SimHei" w:hAnsi="黑体;SimHei" w:eastAsia="黑体;SimHei" w:cs="黑体;SimHei"/>
          <w:b/>
          <w:b/>
          <w:szCs w:val="28"/>
        </w:rPr>
      </w:pPr>
      <w:r>
        <w:rPr>
          <w:rFonts w:ascii="SimHei" w:hAnsi="SimHei" w:cs="黑体;SimHei" w:eastAsia="黑体"/>
          <w:b/>
          <w:szCs w:val="28"/>
        </w:rPr>
        <w:t>目 录</w:t>
      </w:r>
    </w:p>
    <w:p>
      <w:pPr>
        <w:pStyle w:val="Contents1"/>
        <w:rPr>
          <w:rFonts w:ascii="黑体;SimHei" w:hAnsi="黑体;SimHei" w:eastAsia="黑体;SimHei" w:cs="黑体;SimHei"/>
          <w:b/>
          <w:b/>
          <w:szCs w:val="28"/>
        </w:rPr>
      </w:pPr>
      <w:r>
        <w:rPr>
          <w:rFonts w:eastAsia="黑体" w:cs="黑体;SimHei" w:ascii="SimHei" w:hAnsi="SimHei"/>
          <w:b/>
          <w:szCs w:val="28"/>
        </w:rPr>
      </w:r>
    </w:p>
    <w:sdt>
      <w:sdtPr>
        <w:docPartObj>
          <w:docPartGallery w:val="Table of Contents"/>
          <w:docPartUnique w:val="true"/>
        </w:docPartObj>
      </w:sdtPr>
      <w:sdtContent>
        <w:p>
          <w:pPr>
            <w:pStyle w:val="Contents1"/>
            <w:rPr>
              <w:rFonts w:ascii="仿宋;宋体" w:hAnsi="仿宋;宋体" w:eastAsia="仿宋;宋体" w:cs="仿宋;宋体"/>
            </w:rPr>
          </w:pPr>
          <w:r>
            <w:fldChar w:fldCharType="begin"/>
          </w:r>
          <w:r>
            <w:rPr>
              <w:rFonts w:eastAsia="仿宋;宋体" w:cs="仿宋;宋体" w:ascii="仿宋;宋体" w:hAnsi="仿宋;宋体"/>
            </w:rPr>
            <w:instrText> TOC \o "1-3" \h \z \u </w:instrText>
          </w:r>
          <w:r>
            <w:rPr>
              <w:rFonts w:eastAsia="仿宋;宋体" w:cs="仿宋;宋体" w:ascii="仿宋;宋体" w:hAnsi="仿宋;宋体"/>
            </w:rPr>
            <w:fldChar w:fldCharType="separate"/>
          </w:r>
          <w:r>
            <w:rPr>
              <w:rFonts w:eastAsia="仿宋;宋体" w:cs="仿宋;宋体" w:ascii="仿宋;宋体" w:hAnsi="仿宋;宋体"/>
            </w:rPr>
          </w:r>
        </w:p>
        <w:p>
          <w:pPr>
            <w:pStyle w:val="Contents2"/>
            <w:rPr>
              <w:rFonts w:ascii="仿宋;宋体" w:hAnsi="仿宋;宋体" w:eastAsia="仿宋;宋体" w:cs="仿宋;宋体"/>
            </w:rPr>
          </w:pPr>
          <w:hyperlink w:anchor="__RefHeading___Toc277935391">
            <w:r>
              <w:rPr>
                <w:rStyle w:val="IndexLink"/>
                <w:rFonts w:ascii="仿宋;宋体" w:hAnsi="仿宋;宋体" w:cs="仿宋;宋体" w:eastAsia="仿宋;宋体"/>
              </w:rPr>
              <w:t>第一章</w:t>
            </w:r>
            <w:r>
              <w:rPr>
                <w:rStyle w:val="IndexLink"/>
                <w:rFonts w:ascii="仿宋;宋体" w:hAnsi="仿宋;宋体" w:cs="仿宋;宋体" w:eastAsia="仿宋;宋体"/>
              </w:rPr>
              <w:t xml:space="preserve">  </w:t>
            </w:r>
            <w:r>
              <w:rPr>
                <w:rStyle w:val="IndexLink"/>
                <w:rFonts w:ascii="仿宋;宋体" w:hAnsi="仿宋;宋体" w:cs="仿宋;宋体" w:eastAsia="仿宋;宋体"/>
              </w:rPr>
              <w:t>总则</w:t>
            </w:r>
            <w:r>
              <w:rPr>
                <w:rStyle w:val="IndexLink"/>
                <w:rFonts w:eastAsia="仿宋;宋体" w:cs="仿宋;宋体" w:ascii="仿宋;宋体" w:hAnsi="仿宋;宋体"/>
              </w:rPr>
              <w:tab/>
              <w:t>3</w:t>
            </w:r>
          </w:hyperlink>
        </w:p>
        <w:p>
          <w:pPr>
            <w:pStyle w:val="Contents3"/>
            <w:rPr>
              <w:rFonts w:ascii="仿宋;宋体" w:hAnsi="仿宋;宋体" w:eastAsia="仿宋;宋体" w:cs="仿宋;宋体"/>
              <w:sz w:val="28"/>
              <w:szCs w:val="28"/>
            </w:rPr>
          </w:pPr>
          <w:hyperlink w:anchor="__RefHeading___Toc277935392">
            <w:r>
              <w:rPr>
                <w:rStyle w:val="IndexLink"/>
                <w:rFonts w:ascii="仿宋;宋体" w:hAnsi="仿宋;宋体" w:cs="仿宋;宋体" w:eastAsia="仿宋;宋体"/>
                <w:sz w:val="28"/>
                <w:szCs w:val="28"/>
              </w:rPr>
              <w:t>第一节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目的</w:t>
            </w:r>
            <w:r>
              <w:rPr>
                <w:rStyle w:val="IndexLink"/>
                <w:rFonts w:eastAsia="仿宋;宋体" w:cs="仿宋;宋体" w:ascii="仿宋;宋体" w:hAnsi="仿宋;宋体"/>
                <w:sz w:val="28"/>
                <w:szCs w:val="28"/>
              </w:rPr>
              <w:tab/>
              <w:t>3</w:t>
            </w:r>
          </w:hyperlink>
        </w:p>
        <w:p>
          <w:pPr>
            <w:pStyle w:val="Contents3"/>
            <w:rPr>
              <w:rFonts w:ascii="仿宋;宋体" w:hAnsi="仿宋;宋体" w:eastAsia="仿宋;宋体" w:cs="仿宋;宋体"/>
              <w:sz w:val="28"/>
              <w:szCs w:val="28"/>
            </w:rPr>
          </w:pPr>
          <w:hyperlink w:anchor="__RefHeading___Toc277935393">
            <w:r>
              <w:rPr>
                <w:rStyle w:val="IndexLink"/>
                <w:rFonts w:ascii="仿宋;宋体" w:hAnsi="仿宋;宋体" w:cs="仿宋;宋体" w:eastAsia="仿宋;宋体"/>
                <w:sz w:val="28"/>
                <w:szCs w:val="28"/>
              </w:rPr>
              <w:t>第二节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适用范围</w:t>
            </w:r>
            <w:r>
              <w:rPr>
                <w:rStyle w:val="IndexLink"/>
                <w:rFonts w:eastAsia="仿宋;宋体" w:cs="仿宋;宋体" w:ascii="仿宋;宋体" w:hAnsi="仿宋;宋体"/>
                <w:sz w:val="28"/>
                <w:szCs w:val="28"/>
              </w:rPr>
              <w:tab/>
              <w:t>3</w:t>
            </w:r>
          </w:hyperlink>
        </w:p>
        <w:p>
          <w:pPr>
            <w:pStyle w:val="Contents3"/>
            <w:rPr>
              <w:rFonts w:ascii="仿宋;宋体" w:hAnsi="仿宋;宋体" w:eastAsia="仿宋;宋体" w:cs="仿宋;宋体"/>
              <w:sz w:val="28"/>
              <w:szCs w:val="28"/>
            </w:rPr>
          </w:pPr>
          <w:hyperlink w:anchor="__RefHeading___Toc277935394">
            <w:r>
              <w:rPr>
                <w:rStyle w:val="IndexLink"/>
                <w:rFonts w:ascii="仿宋;宋体" w:hAnsi="仿宋;宋体" w:cs="仿宋;宋体" w:eastAsia="仿宋;宋体"/>
                <w:sz w:val="28"/>
                <w:szCs w:val="28"/>
              </w:rPr>
              <w:t>第三节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总体要求</w:t>
            </w:r>
            <w:r>
              <w:rPr>
                <w:rStyle w:val="IndexLink"/>
                <w:rFonts w:eastAsia="仿宋;宋体" w:cs="仿宋;宋体" w:ascii="仿宋;宋体" w:hAnsi="仿宋;宋体"/>
                <w:sz w:val="28"/>
                <w:szCs w:val="28"/>
              </w:rPr>
              <w:tab/>
              <w:t>3</w:t>
            </w:r>
          </w:hyperlink>
        </w:p>
        <w:p>
          <w:pPr>
            <w:pStyle w:val="Contents3"/>
            <w:rPr>
              <w:rFonts w:ascii="仿宋;宋体" w:hAnsi="仿宋;宋体" w:eastAsia="仿宋;宋体" w:cs="仿宋;宋体"/>
              <w:sz w:val="28"/>
              <w:szCs w:val="28"/>
            </w:rPr>
          </w:pPr>
          <w:hyperlink w:anchor="__RefHeading___Toc277935395">
            <w:r>
              <w:rPr>
                <w:rStyle w:val="IndexLink"/>
                <w:rFonts w:ascii="仿宋;宋体" w:hAnsi="仿宋;宋体" w:cs="仿宋;宋体" w:eastAsia="仿宋;宋体"/>
                <w:sz w:val="28"/>
                <w:szCs w:val="28"/>
              </w:rPr>
              <w:t>第四节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职责分工</w:t>
            </w:r>
            <w:r>
              <w:rPr>
                <w:rStyle w:val="IndexLink"/>
                <w:rFonts w:eastAsia="仿宋;宋体" w:cs="仿宋;宋体" w:ascii="仿宋;宋体" w:hAnsi="仿宋;宋体"/>
                <w:sz w:val="28"/>
                <w:szCs w:val="28"/>
              </w:rPr>
              <w:tab/>
              <w:t>4</w:t>
            </w:r>
          </w:hyperlink>
        </w:p>
        <w:p>
          <w:pPr>
            <w:pStyle w:val="Contents2"/>
            <w:rPr>
              <w:rFonts w:ascii="仿宋;宋体" w:hAnsi="仿宋;宋体" w:eastAsia="仿宋;宋体" w:cs="仿宋;宋体"/>
            </w:rPr>
          </w:pPr>
          <w:hyperlink w:anchor="__RefHeading___Toc277935396">
            <w:r>
              <w:rPr>
                <w:rStyle w:val="IndexLink"/>
                <w:rFonts w:ascii="仿宋;宋体" w:hAnsi="仿宋;宋体" w:cs="仿宋;宋体" w:eastAsia="仿宋;宋体"/>
              </w:rPr>
              <w:t>第二章</w:t>
            </w:r>
            <w:r>
              <w:rPr>
                <w:rStyle w:val="IndexLink"/>
                <w:rFonts w:ascii="仿宋;宋体" w:hAnsi="仿宋;宋体" w:cs="仿宋;宋体" w:eastAsia="仿宋;宋体"/>
              </w:rPr>
              <w:t xml:space="preserve">  </w:t>
            </w:r>
            <w:r>
              <w:rPr>
                <w:rStyle w:val="IndexLink"/>
                <w:rFonts w:ascii="仿宋;宋体" w:hAnsi="仿宋;宋体" w:cs="仿宋;宋体" w:eastAsia="仿宋;宋体"/>
              </w:rPr>
              <w:t>合同的订立、履行、变更和解除</w:t>
            </w:r>
            <w:r>
              <w:rPr>
                <w:rStyle w:val="IndexLink"/>
                <w:rFonts w:eastAsia="仿宋;宋体" w:cs="仿宋;宋体" w:ascii="仿宋;宋体" w:hAnsi="仿宋;宋体"/>
              </w:rPr>
              <w:tab/>
              <w:t>4</w:t>
            </w:r>
          </w:hyperlink>
        </w:p>
        <w:p>
          <w:pPr>
            <w:pStyle w:val="Contents3"/>
            <w:rPr>
              <w:rFonts w:ascii="仿宋;宋体" w:hAnsi="仿宋;宋体" w:eastAsia="仿宋;宋体" w:cs="仿宋;宋体"/>
              <w:sz w:val="28"/>
              <w:szCs w:val="28"/>
            </w:rPr>
          </w:pPr>
          <w:hyperlink w:anchor="__RefHeading___Toc277935397">
            <w:r>
              <w:rPr>
                <w:rStyle w:val="IndexLink"/>
                <w:rFonts w:ascii="仿宋;宋体" w:hAnsi="仿宋;宋体" w:cs="仿宋;宋体" w:eastAsia="仿宋;宋体"/>
                <w:sz w:val="28"/>
                <w:szCs w:val="28"/>
              </w:rPr>
              <w:t>第一节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合同的订立</w:t>
            </w:r>
            <w:r>
              <w:rPr>
                <w:rStyle w:val="IndexLink"/>
                <w:rFonts w:eastAsia="仿宋;宋体" w:cs="仿宋;宋体" w:ascii="仿宋;宋体" w:hAnsi="仿宋;宋体"/>
                <w:sz w:val="28"/>
                <w:szCs w:val="28"/>
              </w:rPr>
              <w:tab/>
              <w:t>4</w:t>
            </w:r>
          </w:hyperlink>
        </w:p>
        <w:p>
          <w:pPr>
            <w:pStyle w:val="Contents3"/>
            <w:rPr>
              <w:rFonts w:ascii="仿宋;宋体" w:hAnsi="仿宋;宋体" w:eastAsia="仿宋;宋体" w:cs="仿宋;宋体"/>
              <w:sz w:val="28"/>
              <w:szCs w:val="28"/>
            </w:rPr>
          </w:pPr>
          <w:hyperlink w:anchor="__RefHeading___Toc277935398">
            <w:r>
              <w:rPr>
                <w:rStyle w:val="IndexLink"/>
                <w:rFonts w:ascii="仿宋;宋体" w:hAnsi="仿宋;宋体" w:cs="仿宋;宋体" w:eastAsia="仿宋;宋体"/>
                <w:sz w:val="28"/>
                <w:szCs w:val="28"/>
              </w:rPr>
              <w:t>第二节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合同的履行</w:t>
            </w:r>
            <w:r>
              <w:rPr>
                <w:rStyle w:val="IndexLink"/>
                <w:rFonts w:eastAsia="仿宋;宋体" w:cs="仿宋;宋体" w:ascii="仿宋;宋体" w:hAnsi="仿宋;宋体"/>
                <w:sz w:val="28"/>
                <w:szCs w:val="28"/>
              </w:rPr>
              <w:tab/>
              <w:t>6</w:t>
            </w:r>
          </w:hyperlink>
        </w:p>
        <w:p>
          <w:pPr>
            <w:pStyle w:val="Contents3"/>
            <w:rPr>
              <w:rFonts w:ascii="仿宋;宋体" w:hAnsi="仿宋;宋体" w:eastAsia="仿宋;宋体" w:cs="仿宋;宋体"/>
              <w:sz w:val="28"/>
              <w:szCs w:val="28"/>
            </w:rPr>
          </w:pPr>
          <w:hyperlink w:anchor="__RefHeading___Toc277935399">
            <w:r>
              <w:rPr>
                <w:rStyle w:val="IndexLink"/>
                <w:rFonts w:ascii="仿宋;宋体" w:hAnsi="仿宋;宋体" w:cs="仿宋;宋体" w:eastAsia="仿宋;宋体"/>
                <w:sz w:val="28"/>
                <w:szCs w:val="28"/>
              </w:rPr>
              <w:t>第三节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合同的变更和解除</w:t>
            </w:r>
            <w:r>
              <w:rPr>
                <w:rStyle w:val="IndexLink"/>
                <w:rFonts w:eastAsia="仿宋;宋体" w:cs="仿宋;宋体" w:ascii="仿宋;宋体" w:hAnsi="仿宋;宋体"/>
                <w:sz w:val="28"/>
                <w:szCs w:val="28"/>
              </w:rPr>
              <w:tab/>
              <w:t>7</w:t>
            </w:r>
          </w:hyperlink>
        </w:p>
        <w:p>
          <w:pPr>
            <w:pStyle w:val="Contents2"/>
            <w:rPr>
              <w:rFonts w:ascii="仿宋;宋体" w:hAnsi="仿宋;宋体" w:eastAsia="仿宋;宋体" w:cs="仿宋;宋体"/>
            </w:rPr>
          </w:pPr>
          <w:hyperlink w:anchor="__RefHeading___Toc277935400">
            <w:r>
              <w:rPr>
                <w:rStyle w:val="IndexLink"/>
                <w:rFonts w:ascii="仿宋;宋体" w:hAnsi="仿宋;宋体" w:cs="仿宋;宋体" w:eastAsia="仿宋;宋体"/>
              </w:rPr>
              <w:t>第三章</w:t>
            </w:r>
            <w:r>
              <w:rPr>
                <w:rStyle w:val="IndexLink"/>
                <w:rFonts w:ascii="仿宋;宋体" w:hAnsi="仿宋;宋体" w:cs="仿宋;宋体" w:eastAsia="仿宋;宋体"/>
              </w:rPr>
              <w:t xml:space="preserve">  </w:t>
            </w:r>
            <w:r>
              <w:rPr>
                <w:rStyle w:val="IndexLink"/>
                <w:rFonts w:ascii="仿宋;宋体" w:hAnsi="仿宋;宋体" w:cs="仿宋;宋体" w:eastAsia="仿宋;宋体"/>
              </w:rPr>
              <w:t>合同资料的管理</w:t>
            </w:r>
            <w:r>
              <w:rPr>
                <w:rStyle w:val="IndexLink"/>
                <w:rFonts w:eastAsia="仿宋;宋体" w:cs="仿宋;宋体" w:ascii="仿宋;宋体" w:hAnsi="仿宋;宋体"/>
              </w:rPr>
              <w:tab/>
              <w:t>8</w:t>
            </w:r>
          </w:hyperlink>
        </w:p>
        <w:p>
          <w:pPr>
            <w:pStyle w:val="Contents2"/>
            <w:rPr>
              <w:rFonts w:ascii="仿宋;宋体" w:hAnsi="仿宋;宋体" w:eastAsia="仿宋;宋体" w:cs="仿宋;宋体"/>
            </w:rPr>
          </w:pPr>
          <w:hyperlink w:anchor="__RefHeading___Toc277935401">
            <w:r>
              <w:rPr>
                <w:rStyle w:val="IndexLink"/>
                <w:rFonts w:ascii="仿宋;宋体" w:hAnsi="仿宋;宋体" w:cs="仿宋;宋体" w:eastAsia="仿宋;宋体"/>
              </w:rPr>
              <w:t>第四章</w:t>
            </w:r>
            <w:r>
              <w:rPr>
                <w:rStyle w:val="IndexLink"/>
                <w:rFonts w:ascii="仿宋;宋体" w:hAnsi="仿宋;宋体" w:cs="仿宋;宋体" w:eastAsia="仿宋;宋体"/>
              </w:rPr>
              <w:t xml:space="preserve">  </w:t>
            </w:r>
            <w:r>
              <w:rPr>
                <w:rStyle w:val="IndexLink"/>
                <w:rFonts w:ascii="仿宋;宋体" w:hAnsi="仿宋;宋体" w:cs="仿宋;宋体" w:eastAsia="仿宋;宋体"/>
              </w:rPr>
              <w:t>其他规定</w:t>
            </w:r>
            <w:r>
              <w:rPr>
                <w:rStyle w:val="IndexLink"/>
                <w:rFonts w:eastAsia="仿宋;宋体" w:cs="仿宋;宋体" w:ascii="仿宋;宋体" w:hAnsi="仿宋;宋体"/>
              </w:rPr>
              <w:tab/>
              <w:t>9</w:t>
            </w:r>
          </w:hyperlink>
        </w:p>
        <w:p>
          <w:pPr>
            <w:pStyle w:val="Contents3"/>
            <w:rPr>
              <w:rFonts w:ascii="仿宋;宋体" w:hAnsi="仿宋;宋体" w:eastAsia="仿宋;宋体" w:cs="仿宋;宋体"/>
              <w:sz w:val="28"/>
              <w:szCs w:val="28"/>
            </w:rPr>
          </w:pPr>
          <w:hyperlink w:anchor="__RefHeading___Toc277935402">
            <w:r>
              <w:rPr>
                <w:rStyle w:val="IndexLink"/>
                <w:rFonts w:ascii="仿宋;宋体" w:hAnsi="仿宋;宋体" w:cs="仿宋;宋体" w:eastAsia="仿宋;宋体"/>
                <w:sz w:val="28"/>
                <w:szCs w:val="28"/>
              </w:rPr>
              <w:t>第一节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提前履行的处理</w:t>
            </w:r>
            <w:r>
              <w:rPr>
                <w:rStyle w:val="IndexLink"/>
                <w:rFonts w:eastAsia="仿宋;宋体" w:cs="仿宋;宋体" w:ascii="仿宋;宋体" w:hAnsi="仿宋;宋体"/>
                <w:sz w:val="28"/>
                <w:szCs w:val="28"/>
              </w:rPr>
              <w:tab/>
              <w:t>9</w:t>
            </w:r>
          </w:hyperlink>
        </w:p>
        <w:p>
          <w:pPr>
            <w:pStyle w:val="Contents3"/>
            <w:rPr>
              <w:rFonts w:ascii="仿宋;宋体" w:hAnsi="仿宋;宋体" w:eastAsia="仿宋;宋体" w:cs="仿宋;宋体"/>
              <w:sz w:val="28"/>
              <w:szCs w:val="28"/>
            </w:rPr>
          </w:pPr>
          <w:hyperlink w:anchor="__RefHeading___Toc277935403">
            <w:r>
              <w:rPr>
                <w:rStyle w:val="IndexLink"/>
                <w:rFonts w:ascii="仿宋;宋体" w:hAnsi="仿宋;宋体" w:cs="仿宋;宋体" w:eastAsia="仿宋;宋体"/>
                <w:sz w:val="28"/>
                <w:szCs w:val="28"/>
              </w:rPr>
              <w:t>第二节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履行顺序</w:t>
            </w:r>
            <w:r>
              <w:rPr>
                <w:rStyle w:val="IndexLink"/>
                <w:rFonts w:eastAsia="仿宋;宋体" w:cs="仿宋;宋体" w:ascii="仿宋;宋体" w:hAnsi="仿宋;宋体"/>
                <w:sz w:val="28"/>
                <w:szCs w:val="28"/>
              </w:rPr>
              <w:tab/>
              <w:t>9</w:t>
            </w:r>
          </w:hyperlink>
        </w:p>
        <w:p>
          <w:pPr>
            <w:pStyle w:val="Contents3"/>
            <w:rPr>
              <w:rFonts w:ascii="仿宋;宋体" w:hAnsi="仿宋;宋体" w:eastAsia="仿宋;宋体" w:cs="仿宋;宋体"/>
              <w:sz w:val="28"/>
              <w:szCs w:val="28"/>
            </w:rPr>
          </w:pPr>
          <w:hyperlink w:anchor="__RefHeading___Toc277935404">
            <w:r>
              <w:rPr>
                <w:rStyle w:val="IndexLink"/>
                <w:rFonts w:ascii="仿宋;宋体" w:hAnsi="仿宋;宋体" w:cs="仿宋;宋体" w:eastAsia="仿宋;宋体"/>
                <w:sz w:val="28"/>
                <w:szCs w:val="28"/>
              </w:rPr>
              <w:t>第三节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履行合同不符约定或存在瑕疵的处理</w:t>
            </w:r>
            <w:r>
              <w:rPr>
                <w:rStyle w:val="IndexLink"/>
                <w:rFonts w:eastAsia="仿宋;宋体" w:cs="仿宋;宋体" w:ascii="仿宋;宋体" w:hAnsi="仿宋;宋体"/>
                <w:sz w:val="28"/>
                <w:szCs w:val="28"/>
              </w:rPr>
              <w:tab/>
              <w:t>9</w:t>
            </w:r>
          </w:hyperlink>
        </w:p>
        <w:p>
          <w:pPr>
            <w:pStyle w:val="Contents3"/>
            <w:rPr>
              <w:rFonts w:ascii="仿宋;宋体" w:hAnsi="仿宋;宋体" w:eastAsia="仿宋;宋体" w:cs="仿宋;宋体"/>
              <w:sz w:val="28"/>
              <w:szCs w:val="28"/>
            </w:rPr>
          </w:pPr>
          <w:hyperlink w:anchor="__RefHeading___Toc277935405">
            <w:r>
              <w:rPr>
                <w:rStyle w:val="IndexLink"/>
                <w:rFonts w:ascii="仿宋;宋体" w:hAnsi="仿宋;宋体" w:cs="仿宋;宋体" w:eastAsia="仿宋;宋体"/>
                <w:sz w:val="28"/>
                <w:szCs w:val="28"/>
              </w:rPr>
              <w:t>第四节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对方变更主体的处理</w:t>
            </w:r>
            <w:r>
              <w:rPr>
                <w:rStyle w:val="IndexLink"/>
                <w:rFonts w:eastAsia="仿宋;宋体" w:cs="仿宋;宋体" w:ascii="仿宋;宋体" w:hAnsi="仿宋;宋体"/>
                <w:sz w:val="28"/>
                <w:szCs w:val="28"/>
              </w:rPr>
              <w:tab/>
              <w:t>10</w:t>
            </w:r>
          </w:hyperlink>
        </w:p>
        <w:p>
          <w:pPr>
            <w:pStyle w:val="Contents3"/>
            <w:rPr>
              <w:rFonts w:ascii="仿宋;宋体" w:hAnsi="仿宋;宋体" w:eastAsia="仿宋;宋体" w:cs="仿宋;宋体"/>
              <w:sz w:val="28"/>
              <w:szCs w:val="28"/>
            </w:rPr>
          </w:pPr>
          <w:hyperlink w:anchor="__RefHeading___Toc277935406">
            <w:r>
              <w:rPr>
                <w:rStyle w:val="IndexLink"/>
                <w:rFonts w:ascii="仿宋;宋体" w:hAnsi="仿宋;宋体" w:cs="仿宋;宋体" w:eastAsia="仿宋;宋体"/>
                <w:sz w:val="28"/>
                <w:szCs w:val="28"/>
              </w:rPr>
              <w:t>第五节</w:t>
            </w:r>
            <w:r>
              <w:rPr>
                <w:rStyle w:val="IndexLink"/>
                <w:rFonts w:ascii="仿宋;宋体" w:hAnsi="仿宋;宋体" w:cs="仿宋;宋体" w:eastAsia="仿宋;宋体"/>
                <w:sz w:val="28"/>
                <w:szCs w:val="28"/>
              </w:rPr>
              <w:t xml:space="preserve">  </w:t>
            </w:r>
            <w:r>
              <w:rPr>
                <w:rStyle w:val="IndexLink"/>
                <w:rFonts w:ascii="仿宋;宋体" w:hAnsi="仿宋;宋体" w:cs="仿宋;宋体" w:eastAsia="仿宋;宋体"/>
                <w:sz w:val="28"/>
                <w:szCs w:val="28"/>
              </w:rPr>
              <w:t>责任</w:t>
            </w:r>
            <w:r>
              <w:rPr>
                <w:rStyle w:val="IndexLink"/>
                <w:rFonts w:eastAsia="仿宋;宋体" w:cs="仿宋;宋体" w:ascii="仿宋;宋体" w:hAnsi="仿宋;宋体"/>
                <w:sz w:val="28"/>
                <w:szCs w:val="28"/>
              </w:rPr>
              <w:tab/>
              <w:t>10</w:t>
            </w:r>
          </w:hyperlink>
        </w:p>
        <w:p>
          <w:pPr>
            <w:pStyle w:val="Contents2"/>
            <w:rPr>
              <w:rFonts w:ascii="仿宋;宋体" w:hAnsi="仿宋;宋体" w:eastAsia="仿宋;宋体" w:cs="仿宋;宋体"/>
            </w:rPr>
          </w:pPr>
          <w:hyperlink w:anchor="__RefHeading___Toc277935407">
            <w:r>
              <w:rPr>
                <w:rStyle w:val="IndexLink"/>
                <w:rFonts w:ascii="仿宋;宋体" w:hAnsi="仿宋;宋体" w:cs="仿宋;宋体" w:eastAsia="仿宋;宋体"/>
              </w:rPr>
              <w:t>第五章</w:t>
            </w:r>
            <w:r>
              <w:rPr>
                <w:rStyle w:val="IndexLink"/>
                <w:rFonts w:ascii="仿宋;宋体" w:hAnsi="仿宋;宋体" w:cs="仿宋;宋体" w:eastAsia="仿宋;宋体"/>
              </w:rPr>
              <w:t xml:space="preserve">  </w:t>
            </w:r>
            <w:r>
              <w:rPr>
                <w:rStyle w:val="IndexLink"/>
                <w:rFonts w:ascii="仿宋;宋体" w:hAnsi="仿宋;宋体" w:cs="仿宋;宋体" w:eastAsia="仿宋;宋体"/>
              </w:rPr>
              <w:t>附则</w:t>
            </w:r>
            <w:r>
              <w:rPr>
                <w:rStyle w:val="IndexLink"/>
                <w:rFonts w:eastAsia="仿宋;宋体" w:cs="仿宋;宋体" w:ascii="仿宋;宋体" w:hAnsi="仿宋;宋体"/>
              </w:rPr>
              <w:tab/>
              <w:t>11</w:t>
            </w:r>
          </w:hyperlink>
        </w:p>
        <w:p>
          <w:pPr>
            <w:pStyle w:val="Contents3"/>
            <w:rPr>
              <w:rFonts w:ascii="仿宋;宋体" w:hAnsi="仿宋;宋体" w:eastAsia="仿宋;宋体" w:cs="仿宋;宋体"/>
              <w:sz w:val="28"/>
              <w:szCs w:val="28"/>
            </w:rPr>
          </w:pPr>
          <w:hyperlink w:anchor="__RefHeading___Toc277935408">
            <w:r>
              <w:rPr>
                <w:rStyle w:val="IndexLink"/>
                <w:rFonts w:ascii="仿宋;宋体" w:hAnsi="仿宋;宋体" w:cs="仿宋;宋体" w:eastAsia="仿宋;宋体"/>
                <w:sz w:val="28"/>
                <w:szCs w:val="28"/>
              </w:rPr>
              <w:t>附件</w:t>
            </w:r>
            <w:r>
              <w:rPr>
                <w:rStyle w:val="IndexLink"/>
                <w:rFonts w:eastAsia="仿宋;宋体" w:cs="仿宋;宋体" w:ascii="仿宋;宋体" w:hAnsi="仿宋;宋体"/>
                <w:sz w:val="28"/>
                <w:szCs w:val="28"/>
              </w:rPr>
              <w:t>1</w:t>
            </w:r>
            <w:r>
              <w:rPr>
                <w:rStyle w:val="IndexLink"/>
                <w:rFonts w:ascii="仿宋;宋体" w:hAnsi="仿宋;宋体" w:cs="仿宋;宋体" w:eastAsia="仿宋;宋体"/>
                <w:sz w:val="28"/>
                <w:szCs w:val="28"/>
              </w:rPr>
              <w:t>：合同审批流程图</w:t>
            </w:r>
            <w:r>
              <w:rPr>
                <w:rStyle w:val="IndexLink"/>
                <w:rFonts w:eastAsia="仿宋;宋体" w:cs="仿宋;宋体" w:ascii="仿宋;宋体" w:hAnsi="仿宋;宋体"/>
                <w:sz w:val="28"/>
                <w:szCs w:val="28"/>
              </w:rPr>
              <w:tab/>
              <w:t>12</w:t>
            </w:r>
          </w:hyperlink>
        </w:p>
        <w:p>
          <w:pPr>
            <w:pStyle w:val="Contents3"/>
            <w:rPr>
              <w:rFonts w:ascii="仿宋;宋体" w:hAnsi="仿宋;宋体" w:eastAsia="仿宋;宋体" w:cs="仿宋;宋体"/>
              <w:sz w:val="28"/>
              <w:szCs w:val="28"/>
            </w:rPr>
          </w:pPr>
          <w:hyperlink w:anchor="__RefHeading___Toc277935409">
            <w:r>
              <w:rPr>
                <w:rStyle w:val="IndexLink"/>
                <w:rFonts w:ascii="仿宋;宋体" w:hAnsi="仿宋;宋体" w:cs="仿宋;宋体" w:eastAsia="仿宋;宋体"/>
                <w:sz w:val="28"/>
                <w:szCs w:val="28"/>
              </w:rPr>
              <w:t>附件</w:t>
            </w:r>
            <w:r>
              <w:rPr>
                <w:rStyle w:val="IndexLink"/>
                <w:rFonts w:eastAsia="仿宋;宋体" w:cs="仿宋;宋体" w:ascii="仿宋;宋体" w:hAnsi="仿宋;宋体"/>
                <w:sz w:val="28"/>
                <w:szCs w:val="28"/>
              </w:rPr>
              <w:t>2</w:t>
            </w:r>
            <w:r>
              <w:rPr>
                <w:rStyle w:val="IndexLink"/>
                <w:rFonts w:ascii="仿宋;宋体" w:hAnsi="仿宋;宋体" w:cs="仿宋;宋体" w:eastAsia="仿宋;宋体"/>
                <w:sz w:val="28"/>
                <w:szCs w:val="28"/>
              </w:rPr>
              <w:t>：合同审批流转单</w:t>
            </w:r>
            <w:r>
              <w:rPr>
                <w:rStyle w:val="IndexLink"/>
                <w:rFonts w:eastAsia="仿宋;宋体" w:cs="仿宋;宋体" w:ascii="仿宋;宋体" w:hAnsi="仿宋;宋体"/>
                <w:sz w:val="28"/>
                <w:szCs w:val="28"/>
              </w:rPr>
              <w:tab/>
              <w:t>1</w:t>
            </w:r>
          </w:hyperlink>
          <w:r>
            <w:rPr>
              <w:rStyle w:val="IndexLink"/>
              <w:sz w:val="28"/>
              <w:szCs w:val="28"/>
              <w:rFonts w:ascii="仿宋;宋体" w:hAnsi="仿宋;宋体" w:cs="仿宋;宋体" w:eastAsia="仿宋;宋体"/>
            </w:rPr>
            <w:fldChar w:fldCharType="end"/>
          </w:r>
        </w:p>
      </w:sdtContent>
    </w:sdt>
    <w:p>
      <w:pPr>
        <w:pStyle w:val="205050505"/>
        <w:numPr>
          <w:ilvl w:val="0"/>
          <w:numId w:val="0"/>
        </w:numPr>
        <w:rPr>
          <w:rFonts w:ascii="仿宋;宋体" w:hAnsi="仿宋;宋体" w:eastAsia="仿宋;宋体" w:cs="仿宋;宋体"/>
          <w:sz w:val="28"/>
          <w:szCs w:val="28"/>
        </w:rPr>
      </w:pPr>
      <w:r>
        <w:rPr>
          <w:rFonts w:eastAsia="黑体" w:cs="仿宋;宋体" w:ascii="SimHei" w:hAnsi="SimHei"/>
          <w:sz w:val="28"/>
          <w:szCs w:val="28"/>
        </w:rPr>
      </w:r>
      <w:r>
        <w:rPr>
          <w:rFonts w:ascii="SimHei" w:hAnsi="SimHei" w:eastAsia="黑体"/>
        </w:rPr>
      </w:r>
    </w:p>
    <w:p>
      <w:pPr>
        <w:pStyle w:val="205050505"/>
        <w:rPr>
          <w:rFonts w:ascii="黑体;SimHei" w:hAnsi="黑体;SimHei" w:eastAsia="黑体;SimHei" w:cs="黑体;SimHei"/>
          <w:sz w:val="28"/>
          <w:szCs w:val="28"/>
        </w:rPr>
      </w:pPr>
      <w:bookmarkStart w:id="0" w:name="__RefHeading___Toc277935391"/>
      <w:bookmarkEnd w:id="0"/>
      <w:r>
        <w:rPr>
          <w:rFonts w:ascii="SimHei" w:hAnsi="SimHei" w:cs="黑体;SimHei" w:eastAsia="黑体"/>
          <w:sz w:val="28"/>
          <w:szCs w:val="28"/>
        </w:rPr>
        <w:t>第一章  总则</w:t>
      </w:r>
    </w:p>
    <w:p>
      <w:pPr>
        <w:pStyle w:val="Heading3"/>
        <w:rPr/>
      </w:pPr>
      <w:bookmarkStart w:id="1" w:name="__RefHeading___Toc277935392"/>
      <w:bookmarkEnd w:id="1"/>
      <w:r>
        <w:rPr>
          <w:rFonts w:ascii="SimHei" w:hAnsi="SimHei" w:cs="仿宋;宋体" w:eastAsia="黑体"/>
          <w:szCs w:val="28"/>
        </w:rPr>
        <w:t xml:space="preserve">第一节 </w:t>
      </w:r>
      <w:r>
        <w:rPr>
          <w:rFonts w:ascii="SimHei" w:hAnsi="SimHei" w:cs="仿宋;宋体" w:eastAsia="黑体"/>
          <w:b w:val="false"/>
          <w:szCs w:val="28"/>
        </w:rPr>
        <w:t xml:space="preserve"> </w:t>
      </w:r>
      <w:r>
        <w:rPr>
          <w:rFonts w:ascii="SimHei" w:hAnsi="SimHei" w:cs="仿宋;宋体" w:eastAsia="黑体"/>
          <w:szCs w:val="28"/>
        </w:rPr>
        <w:t>目的</w:t>
      </w:r>
    </w:p>
    <w:p>
      <w:pPr>
        <w:pStyle w:val="32"/>
        <w:ind w:firstLine="562"/>
        <w:rPr/>
      </w:pPr>
      <w:r>
        <w:rPr>
          <w:rFonts w:ascii="SimHei" w:hAnsi="SimHei" w:cs="仿宋;宋体" w:eastAsia="黑体"/>
          <w:b/>
          <w:sz w:val="28"/>
          <w:szCs w:val="28"/>
        </w:rPr>
        <w:t>第一条</w:t>
      </w:r>
      <w:r>
        <w:rPr>
          <w:rFonts w:ascii="SimHei" w:hAnsi="SimHei" w:cs="仿宋;宋体" w:eastAsia="黑体"/>
          <w:sz w:val="28"/>
          <w:szCs w:val="28"/>
        </w:rPr>
        <w:t xml:space="preserve">  为加强合同管理，规范员工对外业务中的合同行为，明确各相关业务单位和人员的工作职责，维护公司的合法权益，根据《中华人民共和国合同法》，结合公司实际情况，制定本制度。</w:t>
      </w:r>
    </w:p>
    <w:p>
      <w:pPr>
        <w:pStyle w:val="Heading3"/>
        <w:rPr>
          <w:rFonts w:ascii="仿宋;宋体" w:hAnsi="仿宋;宋体" w:eastAsia="仿宋;宋体" w:cs="仿宋;宋体"/>
          <w:szCs w:val="28"/>
        </w:rPr>
      </w:pPr>
      <w:bookmarkStart w:id="2" w:name="__RefHeading___Toc277935393"/>
      <w:bookmarkEnd w:id="2"/>
      <w:r>
        <w:rPr>
          <w:rFonts w:ascii="SimHei" w:hAnsi="SimHei" w:cs="仿宋;宋体" w:eastAsia="黑体"/>
          <w:szCs w:val="28"/>
        </w:rPr>
        <w:t>第二节  适用范围</w:t>
      </w:r>
    </w:p>
    <w:p>
      <w:pPr>
        <w:pStyle w:val="32"/>
        <w:ind w:firstLine="562"/>
        <w:rPr/>
      </w:pPr>
      <w:r>
        <w:rPr>
          <w:rFonts w:ascii="SimHei" w:hAnsi="SimHei" w:cs="仿宋;宋体" w:eastAsia="黑体"/>
          <w:b/>
          <w:sz w:val="28"/>
          <w:szCs w:val="28"/>
        </w:rPr>
        <w:t>第二条</w:t>
      </w:r>
      <w:r>
        <w:rPr>
          <w:rFonts w:ascii="SimHei" w:hAnsi="SimHei" w:cs="仿宋;宋体" w:eastAsia="黑体"/>
          <w:sz w:val="28"/>
          <w:szCs w:val="28"/>
        </w:rPr>
        <w:t xml:space="preserve">  本制度适用于公司本部及子公司。</w:t>
      </w:r>
    </w:p>
    <w:p>
      <w:pPr>
        <w:pStyle w:val="Heading3"/>
        <w:rPr>
          <w:rFonts w:ascii="仿宋;宋体" w:hAnsi="仿宋;宋体" w:eastAsia="仿宋;宋体" w:cs="仿宋;宋体"/>
          <w:szCs w:val="28"/>
        </w:rPr>
      </w:pPr>
      <w:bookmarkStart w:id="3" w:name="__RefHeading___Toc277935394"/>
      <w:bookmarkEnd w:id="3"/>
      <w:r>
        <w:rPr>
          <w:rFonts w:ascii="SimHei" w:hAnsi="SimHei" w:cs="仿宋;宋体" w:eastAsia="黑体"/>
          <w:szCs w:val="28"/>
        </w:rPr>
        <w:t>第三节  总体要求</w:t>
      </w:r>
    </w:p>
    <w:p>
      <w:pPr>
        <w:pStyle w:val="32"/>
        <w:ind w:firstLine="562"/>
        <w:rPr/>
      </w:pPr>
      <w:r>
        <w:rPr>
          <w:rFonts w:ascii="SimHei" w:hAnsi="SimHei" w:cs="仿宋;宋体" w:eastAsia="黑体"/>
          <w:b/>
          <w:sz w:val="28"/>
          <w:szCs w:val="28"/>
        </w:rPr>
        <w:t>第三条</w:t>
      </w:r>
      <w:r>
        <w:rPr>
          <w:rFonts w:ascii="SimHei" w:hAnsi="SimHei" w:cs="仿宋;宋体" w:eastAsia="黑体"/>
          <w:sz w:val="28"/>
          <w:szCs w:val="28"/>
        </w:rPr>
        <w:t xml:space="preserve">  本制度所称合同是指以公司名义对外所签订的经济方面的合同（协议），包括销售合同、采购合同、承包合同、租赁合同、建设工程勘察合同、建设工程设计合同、建设工程施工合同、工程发包协议、供用电水气热力合同、保险合同等经济方面合同，但不包括劳动合同。</w:t>
      </w:r>
    </w:p>
    <w:p>
      <w:pPr>
        <w:pStyle w:val="32"/>
        <w:ind w:firstLine="562"/>
        <w:rPr/>
      </w:pPr>
      <w:r>
        <w:rPr>
          <w:rFonts w:ascii="SimHei" w:hAnsi="SimHei" w:cs="仿宋;宋体" w:eastAsia="黑体"/>
          <w:b/>
          <w:sz w:val="28"/>
          <w:szCs w:val="28"/>
        </w:rPr>
        <w:t>第四条</w:t>
      </w:r>
      <w:r>
        <w:rPr>
          <w:rFonts w:ascii="SimHei" w:hAnsi="SimHei" w:cs="仿宋;宋体" w:eastAsia="黑体"/>
          <w:sz w:val="28"/>
          <w:szCs w:val="28"/>
        </w:rPr>
        <w:t xml:space="preserve">  本制度所指合同均采用书面形式，有关修改合同的文书、函件、图表、传真件等均视为合同的组成部分。</w:t>
      </w:r>
    </w:p>
    <w:p>
      <w:pPr>
        <w:pStyle w:val="32"/>
        <w:ind w:firstLine="562"/>
        <w:rPr/>
      </w:pPr>
      <w:r>
        <w:rPr>
          <w:rFonts w:ascii="SimHei" w:hAnsi="SimHei" w:cs="仿宋;宋体" w:eastAsia="黑体"/>
          <w:b/>
          <w:sz w:val="28"/>
          <w:szCs w:val="28"/>
        </w:rPr>
        <w:t>第五条</w:t>
      </w:r>
      <w:r>
        <w:rPr>
          <w:rFonts w:ascii="SimHei" w:hAnsi="SimHei" w:cs="仿宋;宋体" w:eastAsia="黑体"/>
          <w:sz w:val="28"/>
          <w:szCs w:val="28"/>
        </w:rPr>
        <w:t xml:space="preserve">  合同作为明确合同当事人权利义务的依据，对当事人具有法律约束力。故凡在经营管理中以公司名义与外界发生经济往来的，除即时清结者外，均应签订合同。</w:t>
      </w:r>
    </w:p>
    <w:p>
      <w:pPr>
        <w:pStyle w:val="32"/>
        <w:ind w:firstLine="562"/>
        <w:rPr/>
      </w:pPr>
      <w:r>
        <w:rPr>
          <w:rFonts w:ascii="SimHei" w:hAnsi="SimHei" w:cs="仿宋;宋体" w:eastAsia="黑体"/>
          <w:b/>
          <w:sz w:val="28"/>
          <w:szCs w:val="28"/>
        </w:rPr>
        <w:t>第六条</w:t>
      </w:r>
      <w:r>
        <w:rPr>
          <w:rFonts w:ascii="SimHei" w:hAnsi="SimHei" w:cs="仿宋;宋体" w:eastAsia="黑体"/>
          <w:sz w:val="28"/>
          <w:szCs w:val="28"/>
        </w:rPr>
        <w:t xml:space="preserve">  为提高合同签订效率，更全面保障公司权益，公司将按照业务情况制定并统一下发某些合同标准文本。凡公司有合同标准文本的，则必须采用合同标准文本。</w:t>
      </w:r>
    </w:p>
    <w:p>
      <w:pPr>
        <w:pStyle w:val="32"/>
        <w:ind w:firstLine="562"/>
        <w:rPr/>
      </w:pPr>
      <w:r>
        <w:rPr>
          <w:rFonts w:ascii="SimHei" w:hAnsi="SimHei" w:cs="仿宋;宋体" w:eastAsia="黑体"/>
          <w:b/>
          <w:sz w:val="28"/>
          <w:szCs w:val="28"/>
        </w:rPr>
        <w:t>第七条</w:t>
      </w:r>
      <w:r>
        <w:rPr>
          <w:rFonts w:ascii="SimHei" w:hAnsi="SimHei" w:cs="仿宋;宋体" w:eastAsia="黑体"/>
          <w:sz w:val="28"/>
          <w:szCs w:val="28"/>
        </w:rPr>
        <w:t xml:space="preserve">  为便于提高业务运作效率，公司合同将按照合同金额、合同属性等因素，适时通过执行董事或总裁授权对合同实行分级管理。部分合同的最终审核权将直接下放到某一层级，具体分级细则另行颁布。在分级细则公布前，所有合同均按照本制度规定的方式进行管理、签订。</w:t>
      </w:r>
    </w:p>
    <w:p>
      <w:pPr>
        <w:pStyle w:val="Heading3"/>
        <w:rPr>
          <w:rFonts w:ascii="仿宋;宋体" w:hAnsi="仿宋;宋体" w:eastAsia="仿宋;宋体" w:cs="仿宋;宋体"/>
          <w:szCs w:val="28"/>
        </w:rPr>
      </w:pPr>
      <w:bookmarkStart w:id="4" w:name="__RefHeading___Toc277935395"/>
      <w:bookmarkEnd w:id="4"/>
      <w:r>
        <w:rPr>
          <w:rFonts w:ascii="SimHei" w:hAnsi="SimHei" w:cs="仿宋;宋体" w:eastAsia="黑体"/>
          <w:szCs w:val="28"/>
        </w:rPr>
        <w:t>第四节  职责分工</w:t>
      </w:r>
    </w:p>
    <w:p>
      <w:pPr>
        <w:pStyle w:val="32"/>
        <w:ind w:firstLine="562"/>
        <w:rPr/>
      </w:pPr>
      <w:r>
        <w:rPr>
          <w:rFonts w:ascii="SimHei" w:hAnsi="SimHei" w:cs="仿宋;宋体" w:eastAsia="黑体"/>
          <w:b/>
          <w:sz w:val="28"/>
          <w:szCs w:val="28"/>
        </w:rPr>
        <w:t>第八条</w:t>
      </w:r>
      <w:r>
        <w:rPr>
          <w:rFonts w:ascii="SimHei" w:hAnsi="SimHei" w:cs="仿宋;宋体" w:eastAsia="黑体"/>
          <w:sz w:val="28"/>
          <w:szCs w:val="28"/>
        </w:rPr>
        <w:t xml:space="preserve">  合同使用负责人负责指定经办人起草所需的合同文本或者填入示范合同文本，填写附件</w:t>
      </w:r>
      <w:r>
        <w:rPr>
          <w:rFonts w:eastAsia="黑体" w:cs="仿宋;宋体" w:ascii="SimHei" w:hAnsi="SimHei"/>
          <w:sz w:val="28"/>
          <w:szCs w:val="28"/>
        </w:rPr>
        <w:t>1</w:t>
      </w:r>
      <w:r>
        <w:rPr>
          <w:rFonts w:ascii="SimHei" w:hAnsi="SimHei" w:cs="仿宋;宋体" w:eastAsia="黑体"/>
          <w:sz w:val="28"/>
          <w:szCs w:val="28"/>
        </w:rPr>
        <w:t>《合同审批流转单》的相关内容，并按附件</w:t>
      </w:r>
      <w:r>
        <w:rPr>
          <w:rFonts w:eastAsia="黑体" w:cs="仿宋;宋体" w:ascii="SimHei" w:hAnsi="SimHei"/>
          <w:sz w:val="28"/>
          <w:szCs w:val="28"/>
        </w:rPr>
        <w:t>2“</w:t>
      </w:r>
      <w:r>
        <w:rPr>
          <w:rFonts w:ascii="SimHei" w:hAnsi="SimHei" w:cs="仿宋;宋体" w:eastAsia="黑体"/>
          <w:sz w:val="28"/>
          <w:szCs w:val="28"/>
        </w:rPr>
        <w:t>合同订立流程”报送业务负责人审核流转。</w:t>
      </w:r>
    </w:p>
    <w:p>
      <w:pPr>
        <w:pStyle w:val="32"/>
        <w:ind w:firstLine="562"/>
        <w:rPr/>
      </w:pPr>
      <w:r>
        <w:rPr>
          <w:rFonts w:ascii="SimHei" w:hAnsi="SimHei" w:cs="仿宋;宋体" w:eastAsia="黑体"/>
          <w:b/>
          <w:sz w:val="28"/>
          <w:szCs w:val="28"/>
        </w:rPr>
        <w:t>第九条</w:t>
      </w:r>
      <w:r>
        <w:rPr>
          <w:rFonts w:ascii="SimHei" w:hAnsi="SimHei" w:cs="仿宋;宋体" w:eastAsia="黑体"/>
          <w:sz w:val="28"/>
          <w:szCs w:val="28"/>
        </w:rPr>
        <w:t xml:space="preserve">  业务负责人按照其业务职责审核合同，在《合同审批流转单》上明确发表意见、签字，并按附件</w:t>
      </w:r>
      <w:r>
        <w:rPr>
          <w:rFonts w:eastAsia="黑体" w:cs="仿宋;宋体" w:ascii="SimHei" w:hAnsi="SimHei"/>
          <w:sz w:val="28"/>
          <w:szCs w:val="28"/>
        </w:rPr>
        <w:t>2“</w:t>
      </w:r>
      <w:r>
        <w:rPr>
          <w:rFonts w:ascii="SimHei" w:hAnsi="SimHei" w:cs="仿宋;宋体" w:eastAsia="黑体"/>
          <w:sz w:val="28"/>
          <w:szCs w:val="28"/>
        </w:rPr>
        <w:t>合同订立流程”报送下一审核者审核流转。</w:t>
      </w:r>
    </w:p>
    <w:p>
      <w:pPr>
        <w:pStyle w:val="32"/>
        <w:ind w:firstLine="562"/>
        <w:rPr/>
      </w:pPr>
      <w:r>
        <w:rPr>
          <w:rFonts w:ascii="SimHei" w:hAnsi="SimHei" w:cs="仿宋;宋体" w:eastAsia="黑体"/>
          <w:b/>
          <w:sz w:val="28"/>
          <w:szCs w:val="28"/>
        </w:rPr>
        <w:t>第十条</w:t>
      </w:r>
      <w:r>
        <w:rPr>
          <w:rFonts w:ascii="SimHei" w:hAnsi="SimHei" w:cs="仿宋;宋体" w:eastAsia="黑体"/>
          <w:sz w:val="28"/>
          <w:szCs w:val="28"/>
        </w:rPr>
        <w:t xml:space="preserve">  公司相关业务负责人按照其管理职责审核合同，在《合同审批流转单》上明确发表意见、签字，并按附件</w:t>
      </w:r>
      <w:r>
        <w:rPr>
          <w:rFonts w:eastAsia="黑体" w:cs="仿宋;宋体" w:ascii="SimHei" w:hAnsi="SimHei"/>
          <w:sz w:val="28"/>
          <w:szCs w:val="28"/>
        </w:rPr>
        <w:t>2“</w:t>
      </w:r>
      <w:r>
        <w:rPr>
          <w:rFonts w:ascii="SimHei" w:hAnsi="SimHei" w:cs="仿宋;宋体" w:eastAsia="黑体"/>
          <w:sz w:val="28"/>
          <w:szCs w:val="28"/>
        </w:rPr>
        <w:t>合同订立流程”报送下一审核者审核流转，直至完成整个审核过程。</w:t>
      </w:r>
    </w:p>
    <w:p>
      <w:pPr>
        <w:pStyle w:val="32"/>
        <w:ind w:firstLine="562"/>
        <w:rPr/>
      </w:pPr>
      <w:r>
        <w:rPr>
          <w:rFonts w:ascii="SimHei" w:hAnsi="SimHei" w:cs="仿宋;宋体" w:eastAsia="黑体"/>
          <w:b/>
          <w:sz w:val="28"/>
          <w:szCs w:val="28"/>
        </w:rPr>
        <w:t>第十一条</w:t>
      </w:r>
      <w:r>
        <w:rPr>
          <w:rFonts w:ascii="SimHei" w:hAnsi="SimHei" w:cs="仿宋;宋体" w:eastAsia="黑体"/>
          <w:sz w:val="28"/>
          <w:szCs w:val="28"/>
        </w:rPr>
        <w:t xml:space="preserve">  各印章保管人凭公司领导签署的同意意见直接用印，并在“用印审批表”中予以登记，但不必再经另行用印审批。</w:t>
      </w:r>
    </w:p>
    <w:p>
      <w:pPr>
        <w:pStyle w:val="32"/>
        <w:ind w:firstLine="562"/>
        <w:rPr/>
      </w:pPr>
      <w:r>
        <w:rPr>
          <w:rFonts w:ascii="SimHei" w:hAnsi="SimHei" w:cs="仿宋;宋体" w:eastAsia="黑体"/>
          <w:b/>
          <w:sz w:val="28"/>
          <w:szCs w:val="28"/>
        </w:rPr>
        <w:t>第十二条</w:t>
      </w:r>
      <w:r>
        <w:rPr>
          <w:rFonts w:ascii="SimHei" w:hAnsi="SimHei" w:cs="仿宋;宋体" w:eastAsia="黑体"/>
          <w:sz w:val="28"/>
          <w:szCs w:val="28"/>
        </w:rPr>
        <w:t xml:space="preserve">  法务管理人员根据总裁的授权，对合同进行动态监督管理。有关合同的订立、履行、变更、解除和终止等重要事宜由公司法务管理人员对各业务及子公司实行指导。</w:t>
      </w:r>
    </w:p>
    <w:p>
      <w:pPr>
        <w:pStyle w:val="32"/>
        <w:ind w:firstLine="562"/>
        <w:rPr/>
      </w:pPr>
      <w:r>
        <w:rPr>
          <w:rFonts w:ascii="SimHei" w:hAnsi="SimHei" w:cs="仿宋;宋体" w:eastAsia="黑体"/>
          <w:b/>
          <w:sz w:val="28"/>
          <w:szCs w:val="28"/>
        </w:rPr>
        <w:t xml:space="preserve">第十三条 </w:t>
      </w:r>
      <w:r>
        <w:rPr>
          <w:rFonts w:ascii="SimHei" w:hAnsi="SimHei" w:cs="仿宋;宋体" w:eastAsia="黑体"/>
          <w:sz w:val="28"/>
          <w:szCs w:val="28"/>
        </w:rPr>
        <w:t xml:space="preserve"> 法务管理人员、财务部、合同签订业务条线负责人负责根据本制度规定妥善管理合同资料。</w:t>
      </w:r>
    </w:p>
    <w:p>
      <w:pPr>
        <w:pStyle w:val="205050505"/>
        <w:rPr>
          <w:rFonts w:ascii="黑体;SimHei" w:hAnsi="黑体;SimHei" w:eastAsia="黑体;SimHei" w:cs="黑体;SimHei"/>
          <w:sz w:val="28"/>
          <w:szCs w:val="28"/>
        </w:rPr>
      </w:pPr>
      <w:bookmarkStart w:id="5" w:name="__RefHeading___Toc277935396"/>
      <w:bookmarkEnd w:id="5"/>
      <w:r>
        <w:rPr>
          <w:rFonts w:ascii="SimHei" w:hAnsi="SimHei" w:cs="黑体;SimHei" w:eastAsia="黑体"/>
          <w:sz w:val="28"/>
          <w:szCs w:val="28"/>
        </w:rPr>
        <w:t>第二章  合同的订立、履行、变更和解除</w:t>
      </w:r>
    </w:p>
    <w:p>
      <w:pPr>
        <w:pStyle w:val="Heading3"/>
        <w:rPr/>
      </w:pPr>
      <w:bookmarkStart w:id="6" w:name="__RefHeading___Toc277935397"/>
      <w:bookmarkEnd w:id="6"/>
      <w:r>
        <w:rPr>
          <w:rFonts w:ascii="SimHei" w:hAnsi="SimHei" w:cs="仿宋;宋体" w:eastAsia="黑体"/>
          <w:szCs w:val="28"/>
        </w:rPr>
        <w:t>第</w:t>
      </w:r>
      <w:r>
        <w:rPr>
          <w:rFonts w:ascii="SimHei" w:hAnsi="SimHei" w:cs="仿宋;宋体" w:eastAsia="黑体"/>
          <w:szCs w:val="28"/>
        </w:rPr>
        <w:t>一节  合同的订立</w:t>
      </w:r>
    </w:p>
    <w:p>
      <w:pPr>
        <w:pStyle w:val="32"/>
        <w:ind w:firstLine="562"/>
        <w:rPr/>
      </w:pPr>
      <w:r>
        <w:rPr>
          <w:rFonts w:ascii="SimHei" w:hAnsi="SimHei" w:cs="仿宋;宋体" w:eastAsia="黑体"/>
          <w:b/>
          <w:sz w:val="28"/>
          <w:szCs w:val="28"/>
        </w:rPr>
        <w:t>第十四条</w:t>
      </w:r>
      <w:r>
        <w:rPr>
          <w:rFonts w:ascii="SimHei" w:hAnsi="SimHei" w:cs="仿宋;宋体" w:eastAsia="黑体"/>
          <w:sz w:val="28"/>
          <w:szCs w:val="28"/>
        </w:rPr>
        <w:t xml:space="preserve">  除即时清结者外，与外界达成经济往来意向，经协商一致，应订立合同。</w:t>
      </w:r>
    </w:p>
    <w:p>
      <w:pPr>
        <w:pStyle w:val="32"/>
        <w:ind w:firstLine="562"/>
        <w:rPr/>
      </w:pPr>
      <w:r>
        <w:rPr>
          <w:rFonts w:ascii="SimHei" w:hAnsi="SimHei" w:cs="仿宋;宋体" w:eastAsia="黑体"/>
          <w:b/>
          <w:sz w:val="28"/>
          <w:szCs w:val="28"/>
        </w:rPr>
        <w:t>第十五条</w:t>
      </w:r>
      <w:r>
        <w:rPr>
          <w:rFonts w:ascii="SimHei" w:hAnsi="SimHei" w:cs="仿宋;宋体" w:eastAsia="黑体"/>
          <w:sz w:val="28"/>
          <w:szCs w:val="28"/>
        </w:rPr>
        <w:t xml:space="preserve">  合同由各经办人自行拟稿，重要合同可由法务管理人员协助拟稿。合同内容一般包括以下条款：</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（一）</w:t>
      </w:r>
      <w:r>
        <w:rPr>
          <w:rFonts w:eastAsia="黑体" w:cs="仿宋;宋体" w:ascii="SimHei" w:hAnsi="SimHei"/>
          <w:sz w:val="28"/>
          <w:szCs w:val="28"/>
        </w:rPr>
        <w:tab/>
      </w:r>
      <w:r>
        <w:rPr>
          <w:rFonts w:ascii="SimHei" w:hAnsi="SimHei" w:cs="仿宋;宋体" w:eastAsia="黑体"/>
          <w:sz w:val="28"/>
          <w:szCs w:val="28"/>
        </w:rPr>
        <w:t>当事人的名称（单位）或者姓名（个人）和住所，个人为一方当事人的应注明其证件号码；</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（二）</w:t>
      </w:r>
      <w:r>
        <w:rPr>
          <w:rFonts w:eastAsia="黑体" w:cs="仿宋;宋体" w:ascii="SimHei" w:hAnsi="SimHei"/>
          <w:sz w:val="28"/>
          <w:szCs w:val="28"/>
        </w:rPr>
        <w:tab/>
      </w:r>
      <w:r>
        <w:rPr>
          <w:rFonts w:ascii="SimHei" w:hAnsi="SimHei" w:cs="仿宋;宋体" w:eastAsia="黑体"/>
          <w:sz w:val="28"/>
          <w:szCs w:val="28"/>
        </w:rPr>
        <w:t>标的（指货物、劳务、工程项目等）；</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（三）</w:t>
      </w:r>
      <w:r>
        <w:rPr>
          <w:rFonts w:eastAsia="黑体" w:cs="仿宋;宋体" w:ascii="SimHei" w:hAnsi="SimHei"/>
          <w:sz w:val="28"/>
          <w:szCs w:val="28"/>
        </w:rPr>
        <w:tab/>
      </w:r>
      <w:r>
        <w:rPr>
          <w:rFonts w:ascii="SimHei" w:hAnsi="SimHei" w:cs="仿宋;宋体" w:eastAsia="黑体"/>
          <w:sz w:val="28"/>
          <w:szCs w:val="28"/>
        </w:rPr>
        <w:t>数量；</w:t>
      </w:r>
    </w:p>
    <w:p>
      <w:pPr>
        <w:pStyle w:val="32"/>
        <w:ind w:firstLine="560"/>
        <w:rPr>
          <w:rFonts w:ascii="仿宋;宋体" w:hAnsi="仿宋;宋体" w:eastAsia="仿宋;宋体" w:cs="仿宋;宋体"/>
          <w:sz w:val="28"/>
          <w:szCs w:val="28"/>
        </w:rPr>
      </w:pPr>
      <w:r>
        <w:rPr>
          <w:rFonts w:ascii="SimHei" w:hAnsi="SimHei" w:cs="仿宋;宋体" w:eastAsia="黑体"/>
          <w:sz w:val="28"/>
          <w:szCs w:val="28"/>
        </w:rPr>
        <w:t>（四）</w:t>
      </w:r>
      <w:r>
        <w:rPr>
          <w:rFonts w:eastAsia="黑体" w:cs="仿宋;宋体" w:ascii="SimHei" w:hAnsi="SimHei"/>
          <w:sz w:val="28"/>
          <w:szCs w:val="28"/>
        </w:rPr>
        <w:tab/>
      </w:r>
      <w:r>
        <w:rPr>
          <w:rFonts w:ascii="SimHei" w:hAnsi="SimHei" w:cs="仿宋;宋体" w:eastAsia="黑体"/>
          <w:sz w:val="28"/>
          <w:szCs w:val="28"/>
        </w:rPr>
        <w:t>质量；</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（五）</w:t>
      </w:r>
      <w:r>
        <w:rPr>
          <w:rFonts w:eastAsia="黑体" w:cs="仿宋;宋体" w:ascii="SimHei" w:hAnsi="SimHei"/>
          <w:sz w:val="28"/>
          <w:szCs w:val="28"/>
        </w:rPr>
        <w:tab/>
      </w:r>
      <w:r>
        <w:rPr>
          <w:rFonts w:ascii="SimHei" w:hAnsi="SimHei" w:cs="仿宋;宋体" w:eastAsia="黑体"/>
          <w:sz w:val="28"/>
          <w:szCs w:val="28"/>
        </w:rPr>
        <w:t>价款或者报酬；</w:t>
      </w:r>
    </w:p>
    <w:p>
      <w:pPr>
        <w:pStyle w:val="32"/>
        <w:ind w:firstLine="560"/>
        <w:rPr>
          <w:rFonts w:ascii="仿宋;宋体" w:hAnsi="仿宋;宋体" w:eastAsia="仿宋;宋体" w:cs="仿宋;宋体"/>
          <w:sz w:val="28"/>
          <w:szCs w:val="28"/>
        </w:rPr>
      </w:pPr>
      <w:r>
        <w:rPr>
          <w:rFonts w:ascii="SimHei" w:hAnsi="SimHei" w:cs="仿宋;宋体" w:eastAsia="黑体"/>
          <w:sz w:val="28"/>
          <w:szCs w:val="28"/>
        </w:rPr>
        <w:t>（六）</w:t>
      </w:r>
      <w:r>
        <w:rPr>
          <w:rFonts w:eastAsia="黑体" w:cs="仿宋;宋体" w:ascii="SimHei" w:hAnsi="SimHei"/>
          <w:sz w:val="28"/>
          <w:szCs w:val="28"/>
        </w:rPr>
        <w:tab/>
      </w:r>
      <w:r>
        <w:rPr>
          <w:rFonts w:ascii="SimHei" w:hAnsi="SimHei" w:cs="仿宋;宋体" w:eastAsia="黑体"/>
          <w:sz w:val="28"/>
          <w:szCs w:val="28"/>
        </w:rPr>
        <w:t>履行期限、地点和方式；</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（七）</w:t>
      </w:r>
      <w:r>
        <w:rPr>
          <w:rFonts w:eastAsia="黑体" w:cs="仿宋;宋体" w:ascii="SimHei" w:hAnsi="SimHei"/>
          <w:sz w:val="28"/>
          <w:szCs w:val="28"/>
        </w:rPr>
        <w:tab/>
      </w:r>
      <w:r>
        <w:rPr>
          <w:rFonts w:ascii="SimHei" w:hAnsi="SimHei" w:cs="仿宋;宋体" w:eastAsia="黑体"/>
          <w:sz w:val="28"/>
          <w:szCs w:val="28"/>
        </w:rPr>
        <w:t>违约责任；</w:t>
      </w:r>
    </w:p>
    <w:p>
      <w:pPr>
        <w:pStyle w:val="32"/>
        <w:ind w:firstLine="560"/>
        <w:rPr>
          <w:rFonts w:ascii="仿宋;宋体" w:hAnsi="仿宋;宋体" w:eastAsia="仿宋;宋体" w:cs="仿宋;宋体"/>
          <w:sz w:val="28"/>
          <w:szCs w:val="28"/>
        </w:rPr>
      </w:pPr>
      <w:r>
        <w:rPr>
          <w:rFonts w:ascii="SimHei" w:hAnsi="SimHei" w:cs="仿宋;宋体" w:eastAsia="黑体"/>
          <w:sz w:val="28"/>
          <w:szCs w:val="28"/>
        </w:rPr>
        <w:t>（八）</w:t>
      </w:r>
      <w:r>
        <w:rPr>
          <w:rFonts w:eastAsia="黑体" w:cs="仿宋;宋体" w:ascii="SimHei" w:hAnsi="SimHei"/>
          <w:sz w:val="28"/>
          <w:szCs w:val="28"/>
        </w:rPr>
        <w:tab/>
      </w:r>
      <w:r>
        <w:rPr>
          <w:rFonts w:ascii="SimHei" w:hAnsi="SimHei" w:cs="仿宋;宋体" w:eastAsia="黑体"/>
          <w:sz w:val="28"/>
          <w:szCs w:val="28"/>
        </w:rPr>
        <w:t>解决争议的方法。</w:t>
      </w:r>
    </w:p>
    <w:p>
      <w:pPr>
        <w:pStyle w:val="32"/>
        <w:ind w:firstLine="562"/>
        <w:rPr/>
      </w:pPr>
      <w:r>
        <w:rPr>
          <w:rFonts w:ascii="SimHei" w:hAnsi="SimHei" w:cs="仿宋;宋体" w:eastAsia="黑体"/>
          <w:b/>
          <w:sz w:val="28"/>
          <w:szCs w:val="28"/>
        </w:rPr>
        <w:t>第十六条</w:t>
      </w:r>
      <w:r>
        <w:rPr>
          <w:rFonts w:ascii="SimHei" w:hAnsi="SimHei" w:cs="仿宋;宋体" w:eastAsia="黑体"/>
          <w:sz w:val="28"/>
          <w:szCs w:val="28"/>
        </w:rPr>
        <w:t xml:space="preserve">  国家规定采用标准合同文本的则必须采用标准文本；有国家示范合同文本的，参照示范合同文本拟定合同；公司规定采用统一下发的合同标准文本的，则必须采用合同标准文本。</w:t>
      </w:r>
    </w:p>
    <w:p>
      <w:pPr>
        <w:pStyle w:val="32"/>
        <w:ind w:firstLine="562"/>
        <w:rPr/>
      </w:pPr>
      <w:r>
        <w:rPr>
          <w:rFonts w:ascii="SimHei" w:hAnsi="SimHei" w:cs="仿宋;宋体" w:eastAsia="黑体"/>
          <w:b/>
          <w:sz w:val="28"/>
          <w:szCs w:val="28"/>
        </w:rPr>
        <w:t>第十七条</w:t>
      </w:r>
      <w:r>
        <w:rPr>
          <w:rFonts w:ascii="SimHei" w:hAnsi="SimHei" w:cs="仿宋;宋体" w:eastAsia="黑体"/>
          <w:sz w:val="28"/>
          <w:szCs w:val="28"/>
        </w:rPr>
        <w:t xml:space="preserve">  合同均需按规则编号。编号的形式为： （</w:t>
      </w:r>
      <w:r>
        <w:rPr>
          <w:rFonts w:eastAsia="黑体" w:cs="仿宋;宋体" w:ascii="SimHei" w:hAnsi="SimHei"/>
          <w:sz w:val="28"/>
          <w:szCs w:val="28"/>
        </w:rPr>
        <w:t>201X</w:t>
      </w:r>
      <w:r>
        <w:rPr>
          <w:rFonts w:ascii="SimHei" w:hAnsi="SimHei" w:cs="仿宋;宋体" w:eastAsia="黑体"/>
          <w:sz w:val="28"/>
          <w:szCs w:val="28"/>
        </w:rPr>
        <w:t>）</w:t>
      </w:r>
      <w:r>
        <w:rPr>
          <w:rFonts w:eastAsia="黑体" w:cs="仿宋;宋体" w:ascii="SimHei" w:hAnsi="SimHei"/>
          <w:sz w:val="28"/>
          <w:szCs w:val="28"/>
        </w:rPr>
        <w:t>XXX</w:t>
      </w:r>
      <w:r>
        <w:rPr>
          <w:rFonts w:ascii="SimHei" w:hAnsi="SimHei" w:cs="仿宋;宋体" w:eastAsia="黑体"/>
          <w:sz w:val="28"/>
          <w:szCs w:val="28"/>
        </w:rPr>
        <w:t>号，其中 （ ）内为年，</w:t>
      </w:r>
      <w:r>
        <w:rPr>
          <w:rFonts w:eastAsia="黑体" w:cs="仿宋;宋体" w:ascii="SimHei" w:hAnsi="SimHei"/>
          <w:sz w:val="28"/>
          <w:szCs w:val="28"/>
        </w:rPr>
        <w:t>XXX</w:t>
      </w:r>
      <w:r>
        <w:rPr>
          <w:rFonts w:ascii="SimHei" w:hAnsi="SimHei" w:cs="仿宋;宋体" w:eastAsia="黑体"/>
          <w:sz w:val="28"/>
          <w:szCs w:val="28"/>
        </w:rPr>
        <w:t>为流水号”。合同编号由法务管理人员统一汇总编写。</w:t>
      </w:r>
    </w:p>
    <w:p>
      <w:pPr>
        <w:pStyle w:val="32"/>
        <w:ind w:firstLine="562"/>
        <w:rPr/>
      </w:pPr>
      <w:r>
        <w:rPr>
          <w:rFonts w:ascii="SimHei" w:hAnsi="SimHei" w:cs="仿宋;宋体" w:eastAsia="黑体"/>
          <w:b/>
          <w:sz w:val="28"/>
          <w:szCs w:val="28"/>
        </w:rPr>
        <w:t>第十八条</w:t>
      </w:r>
      <w:r>
        <w:rPr>
          <w:rFonts w:ascii="SimHei" w:hAnsi="SimHei" w:cs="仿宋;宋体" w:eastAsia="黑体"/>
          <w:sz w:val="28"/>
          <w:szCs w:val="28"/>
        </w:rPr>
        <w:t xml:space="preserve">  经办人拟稿完毕后，按照所属公司填写附件</w:t>
      </w:r>
      <w:r>
        <w:rPr>
          <w:rFonts w:eastAsia="黑体" w:cs="仿宋;宋体" w:ascii="SimHei" w:hAnsi="SimHei"/>
          <w:sz w:val="28"/>
          <w:szCs w:val="28"/>
        </w:rPr>
        <w:t>1</w:t>
      </w:r>
      <w:r>
        <w:rPr>
          <w:rFonts w:ascii="SimHei" w:hAnsi="SimHei" w:cs="仿宋;宋体" w:eastAsia="黑体"/>
          <w:sz w:val="28"/>
          <w:szCs w:val="28"/>
        </w:rPr>
        <w:t>《合同审批流转单》的相关内容，同时，在报送审核的合同上签字确认，并按附件</w:t>
      </w:r>
      <w:r>
        <w:rPr>
          <w:rFonts w:eastAsia="黑体" w:cs="仿宋;宋体" w:ascii="SimHei" w:hAnsi="SimHei"/>
          <w:sz w:val="28"/>
          <w:szCs w:val="28"/>
        </w:rPr>
        <w:t>2“</w:t>
      </w:r>
      <w:r>
        <w:rPr>
          <w:rFonts w:ascii="SimHei" w:hAnsi="SimHei" w:cs="仿宋;宋体" w:eastAsia="黑体"/>
          <w:sz w:val="28"/>
          <w:szCs w:val="28"/>
        </w:rPr>
        <w:t>合同订立流程” 将《合同审批流转单》和报送审核的合同报送业务负责人审核流转。</w:t>
      </w:r>
    </w:p>
    <w:p>
      <w:pPr>
        <w:pStyle w:val="32"/>
        <w:ind w:firstLine="562"/>
        <w:rPr/>
      </w:pPr>
      <w:r>
        <w:rPr>
          <w:rFonts w:ascii="SimHei" w:hAnsi="SimHei" w:cs="仿宋;宋体" w:eastAsia="黑体"/>
          <w:b/>
          <w:sz w:val="28"/>
          <w:szCs w:val="28"/>
        </w:rPr>
        <w:t xml:space="preserve">第十九条 </w:t>
      </w:r>
      <w:r>
        <w:rPr>
          <w:rFonts w:ascii="SimHei" w:hAnsi="SimHei" w:cs="仿宋;宋体" w:eastAsia="黑体"/>
          <w:sz w:val="28"/>
          <w:szCs w:val="28"/>
        </w:rPr>
        <w:t xml:space="preserve"> 业务负责人按照其业务职责审核合同，不同意的，直接退回经办人；同意的，在《合同审批流转单》上明确发表意见、签字，同时，在已审核的合同上签字确认，并按附件</w:t>
      </w:r>
      <w:r>
        <w:rPr>
          <w:rFonts w:eastAsia="黑体" w:cs="仿宋;宋体" w:ascii="SimHei" w:hAnsi="SimHei"/>
          <w:sz w:val="28"/>
          <w:szCs w:val="28"/>
        </w:rPr>
        <w:t>2“</w:t>
      </w:r>
      <w:r>
        <w:rPr>
          <w:rFonts w:ascii="SimHei" w:hAnsi="SimHei" w:cs="仿宋;宋体" w:eastAsia="黑体"/>
          <w:sz w:val="28"/>
          <w:szCs w:val="28"/>
        </w:rPr>
        <w:t>合同订立流程”将《合同审批流转单》和合同报送法务管理人员审核流转。</w:t>
      </w:r>
    </w:p>
    <w:p>
      <w:pPr>
        <w:pStyle w:val="32"/>
        <w:ind w:firstLine="562"/>
        <w:rPr/>
      </w:pPr>
      <w:r>
        <w:rPr>
          <w:rFonts w:ascii="SimHei" w:hAnsi="SimHei" w:cs="仿宋;宋体" w:eastAsia="黑体"/>
          <w:b/>
          <w:sz w:val="28"/>
          <w:szCs w:val="28"/>
        </w:rPr>
        <w:t>第二十条</w:t>
      </w:r>
      <w:r>
        <w:rPr>
          <w:rFonts w:ascii="SimHei" w:hAnsi="SimHei" w:cs="仿宋;宋体" w:eastAsia="黑体"/>
          <w:sz w:val="28"/>
          <w:szCs w:val="28"/>
        </w:rPr>
        <w:t xml:space="preserve">  法务管理人员按照法律要求审核合同，在《合同审批流转单》填写合同编号，并明确发表意见、签字，同时，在已审核的合同上签字确认，并按附件</w:t>
      </w:r>
      <w:r>
        <w:rPr>
          <w:rFonts w:eastAsia="黑体" w:cs="仿宋;宋体" w:ascii="SimHei" w:hAnsi="SimHei"/>
          <w:sz w:val="28"/>
          <w:szCs w:val="28"/>
        </w:rPr>
        <w:t>2“</w:t>
      </w:r>
      <w:r>
        <w:rPr>
          <w:rFonts w:ascii="SimHei" w:hAnsi="SimHei" w:cs="仿宋;宋体" w:eastAsia="黑体"/>
          <w:sz w:val="28"/>
          <w:szCs w:val="28"/>
        </w:rPr>
        <w:t>合同订立流程” 将《合同审批流转单》和合同报送财务部审核流转。</w:t>
      </w:r>
    </w:p>
    <w:p>
      <w:pPr>
        <w:pStyle w:val="32"/>
        <w:ind w:firstLine="562"/>
        <w:rPr/>
      </w:pPr>
      <w:r>
        <w:rPr>
          <w:rFonts w:ascii="SimHei" w:hAnsi="SimHei" w:cs="仿宋;宋体" w:eastAsia="黑体"/>
          <w:b/>
          <w:sz w:val="28"/>
          <w:szCs w:val="28"/>
        </w:rPr>
        <w:t>第二十一条</w:t>
      </w:r>
      <w:r>
        <w:rPr>
          <w:rFonts w:ascii="SimHei" w:hAnsi="SimHei" w:cs="仿宋;宋体" w:eastAsia="黑体"/>
          <w:sz w:val="28"/>
          <w:szCs w:val="28"/>
        </w:rPr>
        <w:t xml:space="preserve">  财务部按照其管理职责审核合同，在《合同审批流转单》上明确发表意见、签字，同时，在已审核的合同上签字确认，并按附件</w:t>
      </w:r>
      <w:r>
        <w:rPr>
          <w:rFonts w:eastAsia="黑体" w:cs="仿宋;宋体" w:ascii="SimHei" w:hAnsi="SimHei"/>
          <w:sz w:val="28"/>
          <w:szCs w:val="28"/>
        </w:rPr>
        <w:t>2“</w:t>
      </w:r>
      <w:r>
        <w:rPr>
          <w:rFonts w:ascii="SimHei" w:hAnsi="SimHei" w:cs="仿宋;宋体" w:eastAsia="黑体"/>
          <w:sz w:val="28"/>
          <w:szCs w:val="28"/>
        </w:rPr>
        <w:t>合同订立流程” 将《合同审批流转单》和合同报送公司领导审核。</w:t>
      </w:r>
    </w:p>
    <w:p>
      <w:pPr>
        <w:pStyle w:val="32"/>
        <w:ind w:firstLine="562"/>
        <w:rPr/>
      </w:pPr>
      <w:r>
        <w:rPr>
          <w:rFonts w:ascii="SimHei" w:hAnsi="SimHei" w:cs="仿宋;宋体" w:eastAsia="黑体"/>
          <w:b/>
          <w:sz w:val="28"/>
          <w:szCs w:val="28"/>
        </w:rPr>
        <w:t>第二十二条</w:t>
      </w:r>
      <w:r>
        <w:rPr>
          <w:rFonts w:ascii="SimHei" w:hAnsi="SimHei" w:cs="仿宋;宋体" w:eastAsia="黑体"/>
          <w:sz w:val="28"/>
          <w:szCs w:val="28"/>
        </w:rPr>
        <w:t xml:space="preserve">  公司领导对合同稿予以审核，审核完毕由经办人取回。</w:t>
      </w:r>
    </w:p>
    <w:p>
      <w:pPr>
        <w:pStyle w:val="32"/>
        <w:ind w:firstLine="562"/>
        <w:rPr/>
      </w:pPr>
      <w:r>
        <w:rPr>
          <w:rFonts w:ascii="SimHei" w:hAnsi="SimHei" w:cs="仿宋;宋体" w:eastAsia="黑体"/>
          <w:b/>
          <w:sz w:val="28"/>
          <w:szCs w:val="28"/>
        </w:rPr>
        <w:t>第二十三条</w:t>
      </w:r>
      <w:r>
        <w:rPr>
          <w:rFonts w:ascii="SimHei" w:hAnsi="SimHei" w:cs="仿宋;宋体" w:eastAsia="黑体"/>
          <w:sz w:val="28"/>
          <w:szCs w:val="28"/>
        </w:rPr>
        <w:t xml:space="preserve">  经办人取回审批流转单和审批合同后，应详细领会审批意见。如果相关业务审核人员有修改意见的，经办人应根据修改意见与合同相对方磋商，并按照磋商结果修改合同，经下述程序，在最终合同文本的首页右上角处注明合同编号后，将合同文本交印章保管人用印：</w:t>
      </w:r>
    </w:p>
    <w:p>
      <w:pPr>
        <w:pStyle w:val="32"/>
        <w:ind w:firstLine="560"/>
        <w:rPr/>
      </w:pPr>
      <w:r>
        <w:rPr>
          <w:rFonts w:ascii="SimHei" w:hAnsi="SimHei" w:cs="仿宋;宋体" w:eastAsia="黑体"/>
          <w:sz w:val="28"/>
          <w:szCs w:val="28"/>
        </w:rPr>
        <w:t>（一）如果已根据全部审批意见修改合同的，经办人应在备注栏注明“已根据审批意见修改完毕”，并签字确认后，凭《合同审批流转单》和有各审核人员签字确认的合同交印章保管人在拟用印合同上用印；</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（二）如合同仍有未按修改意见修改部分的，经办人应在备注栏注明合同根据审批意见的未修改部分，并由相关业务审核人员签署意见：</w:t>
      </w:r>
    </w:p>
    <w:p>
      <w:pPr>
        <w:pStyle w:val="32"/>
        <w:ind w:firstLine="560"/>
        <w:rPr>
          <w:rFonts w:ascii="仿宋;宋体" w:hAnsi="仿宋;宋体" w:eastAsia="仿宋;宋体" w:cs="仿宋;宋体"/>
          <w:sz w:val="28"/>
          <w:szCs w:val="28"/>
        </w:rPr>
      </w:pPr>
      <w:r>
        <w:rPr>
          <w:rFonts w:eastAsia="黑体" w:cs="仿宋;宋体" w:ascii="SimHei" w:hAnsi="SimHei"/>
          <w:sz w:val="28"/>
          <w:szCs w:val="28"/>
        </w:rPr>
        <w:t>1</w:t>
      </w:r>
      <w:r>
        <w:rPr>
          <w:rFonts w:ascii="SimHei" w:hAnsi="SimHei" w:cs="仿宋;宋体" w:eastAsia="黑体"/>
          <w:sz w:val="28"/>
          <w:szCs w:val="28"/>
        </w:rPr>
        <w:t>、如审核人员同意的，由审核人员签署同意意见后，经办人交各印章保管人用印；</w:t>
      </w:r>
    </w:p>
    <w:p>
      <w:pPr>
        <w:pStyle w:val="32"/>
        <w:ind w:firstLine="560"/>
        <w:rPr>
          <w:rFonts w:ascii="仿宋;宋体" w:hAnsi="仿宋;宋体" w:eastAsia="仿宋;宋体" w:cs="仿宋;宋体"/>
          <w:sz w:val="28"/>
          <w:szCs w:val="28"/>
        </w:rPr>
      </w:pPr>
      <w:r>
        <w:rPr>
          <w:rFonts w:eastAsia="黑体" w:cs="仿宋;宋体" w:ascii="SimHei" w:hAnsi="SimHei"/>
          <w:sz w:val="28"/>
          <w:szCs w:val="28"/>
        </w:rPr>
        <w:t>2</w:t>
      </w:r>
      <w:r>
        <w:rPr>
          <w:rFonts w:ascii="SimHei" w:hAnsi="SimHei" w:cs="仿宋;宋体" w:eastAsia="黑体"/>
          <w:sz w:val="28"/>
          <w:szCs w:val="28"/>
        </w:rPr>
        <w:t>、如审核人员有保留意见的，经办人提交公司领导审批决定，公司领导审批签字同意的，经办人交各印章保管人用印。公司领导审批不同意的，直接退回经办人；</w:t>
      </w:r>
    </w:p>
    <w:p>
      <w:pPr>
        <w:pStyle w:val="32"/>
        <w:ind w:firstLine="562"/>
        <w:rPr/>
      </w:pPr>
      <w:r>
        <w:rPr>
          <w:rFonts w:ascii="SimHei" w:hAnsi="SimHei" w:cs="仿宋;宋体" w:eastAsia="黑体"/>
          <w:b/>
          <w:sz w:val="28"/>
          <w:szCs w:val="28"/>
        </w:rPr>
        <w:t>第二十四条</w:t>
      </w:r>
      <w:r>
        <w:rPr>
          <w:rFonts w:ascii="SimHei" w:hAnsi="SimHei" w:cs="仿宋;宋体" w:eastAsia="黑体"/>
          <w:sz w:val="28"/>
          <w:szCs w:val="28"/>
        </w:rPr>
        <w:t xml:space="preserve">  各印章保管人印章保管人依据《合同审批流转单》的审批意见并核对审批合同与拟用印合同无误后用印。</w:t>
      </w:r>
    </w:p>
    <w:p>
      <w:pPr>
        <w:pStyle w:val="32"/>
        <w:ind w:firstLine="562"/>
        <w:rPr/>
      </w:pPr>
      <w:r>
        <w:rPr>
          <w:rFonts w:ascii="SimHei" w:hAnsi="SimHei" w:cs="仿宋;宋体" w:eastAsia="黑体"/>
          <w:b/>
          <w:sz w:val="28"/>
          <w:szCs w:val="28"/>
        </w:rPr>
        <w:t>第二十五条</w:t>
      </w:r>
      <w:r>
        <w:rPr>
          <w:rFonts w:ascii="SimHei" w:hAnsi="SimHei" w:cs="仿宋;宋体" w:eastAsia="黑体"/>
          <w:sz w:val="28"/>
          <w:szCs w:val="28"/>
        </w:rPr>
        <w:t xml:space="preserve">  原则上，各级审核人员审核的时间不应超过半天。审核意见签署在合同审批流转单上，流转单空白栏不足的，可使用附页。</w:t>
      </w:r>
    </w:p>
    <w:p>
      <w:pPr>
        <w:pStyle w:val="Heading3"/>
        <w:rPr>
          <w:rFonts w:ascii="仿宋;宋体" w:hAnsi="仿宋;宋体" w:eastAsia="仿宋;宋体" w:cs="仿宋;宋体"/>
          <w:szCs w:val="28"/>
        </w:rPr>
      </w:pPr>
      <w:bookmarkStart w:id="7" w:name="__RefHeading___Toc277935398"/>
      <w:bookmarkEnd w:id="7"/>
      <w:r>
        <w:rPr>
          <w:rFonts w:ascii="SimHei" w:hAnsi="SimHei" w:cs="仿宋;宋体" w:eastAsia="黑体"/>
          <w:szCs w:val="28"/>
        </w:rPr>
        <w:t>第二节  合同的履行</w:t>
      </w:r>
    </w:p>
    <w:p>
      <w:pPr>
        <w:pStyle w:val="32"/>
        <w:ind w:firstLine="562"/>
        <w:rPr>
          <w:rFonts w:ascii="仿宋;宋体" w:hAnsi="仿宋;宋体" w:eastAsia="仿宋;宋体" w:cs="仿宋;宋体"/>
          <w:b/>
          <w:b/>
          <w:sz w:val="28"/>
          <w:szCs w:val="28"/>
        </w:rPr>
      </w:pPr>
      <w:r>
        <w:rPr>
          <w:rFonts w:ascii="SimHei" w:hAnsi="SimHei" w:cs="仿宋;宋体" w:eastAsia="黑体"/>
          <w:b/>
          <w:sz w:val="28"/>
          <w:szCs w:val="28"/>
        </w:rPr>
        <w:t xml:space="preserve">第二十六条  </w:t>
      </w:r>
      <w:r>
        <w:rPr>
          <w:rFonts w:ascii="SimHei" w:hAnsi="SimHei" w:cs="仿宋;宋体" w:eastAsia="黑体"/>
          <w:sz w:val="28"/>
          <w:szCs w:val="28"/>
        </w:rPr>
        <w:t>合同依法订立后，即具有法律效力，应当实际、全面地履行。</w:t>
      </w:r>
    </w:p>
    <w:p>
      <w:pPr>
        <w:pStyle w:val="32"/>
        <w:ind w:firstLine="562"/>
        <w:rPr/>
      </w:pPr>
      <w:r>
        <w:rPr>
          <w:rFonts w:ascii="SimHei" w:hAnsi="SimHei" w:cs="仿宋;宋体" w:eastAsia="黑体"/>
          <w:b/>
          <w:sz w:val="28"/>
          <w:szCs w:val="28"/>
        </w:rPr>
        <w:t>第二十七条</w:t>
      </w:r>
      <w:r>
        <w:rPr>
          <w:rFonts w:ascii="SimHei" w:hAnsi="SimHei" w:cs="仿宋;宋体" w:eastAsia="黑体"/>
          <w:sz w:val="28"/>
          <w:szCs w:val="28"/>
        </w:rPr>
        <w:t xml:space="preserve">  合同所属业务条线、法务管理人员、财务部、应根据合同编号建立合同档案。</w:t>
      </w:r>
    </w:p>
    <w:p>
      <w:pPr>
        <w:pStyle w:val="32"/>
        <w:ind w:firstLine="562"/>
        <w:rPr/>
      </w:pPr>
      <w:r>
        <w:rPr>
          <w:rFonts w:ascii="SimHei" w:hAnsi="SimHei" w:cs="仿宋;宋体" w:eastAsia="黑体"/>
          <w:b/>
          <w:sz w:val="28"/>
          <w:szCs w:val="28"/>
        </w:rPr>
        <w:t>第二十八条</w:t>
      </w:r>
      <w:r>
        <w:rPr>
          <w:rFonts w:ascii="SimHei" w:hAnsi="SimHei" w:cs="仿宋;宋体" w:eastAsia="黑体"/>
          <w:sz w:val="28"/>
          <w:szCs w:val="28"/>
        </w:rPr>
        <w:t xml:space="preserve">  合同订立后，在履行过程中，经办人员应及时掌握合同执行情况，对涉及合同履行中的变更、解除等重要事项，应按本制度规定的程序及时汇报。</w:t>
      </w:r>
    </w:p>
    <w:p>
      <w:pPr>
        <w:pStyle w:val="32"/>
        <w:ind w:firstLine="562"/>
        <w:rPr/>
      </w:pPr>
      <w:r>
        <w:rPr>
          <w:rFonts w:ascii="SimHei" w:hAnsi="SimHei" w:cs="仿宋;宋体" w:eastAsia="黑体"/>
          <w:b/>
          <w:sz w:val="28"/>
          <w:szCs w:val="28"/>
        </w:rPr>
        <w:t>第二十九条</w:t>
      </w:r>
      <w:r>
        <w:rPr>
          <w:rFonts w:ascii="SimHei" w:hAnsi="SimHei" w:cs="仿宋;宋体" w:eastAsia="黑体"/>
          <w:sz w:val="28"/>
          <w:szCs w:val="28"/>
        </w:rPr>
        <w:t xml:space="preserve">  财务部门依据合同履行收付款工作，对具有下列情形的业务，应当拒绝付款：</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（一）</w:t>
      </w:r>
      <w:r>
        <w:rPr>
          <w:rFonts w:eastAsia="黑体" w:cs="仿宋;宋体" w:ascii="SimHei" w:hAnsi="SimHei"/>
          <w:sz w:val="28"/>
          <w:szCs w:val="28"/>
        </w:rPr>
        <w:tab/>
      </w:r>
      <w:r>
        <w:rPr>
          <w:rFonts w:ascii="SimHei" w:hAnsi="SimHei" w:cs="仿宋;宋体" w:eastAsia="黑体"/>
          <w:sz w:val="28"/>
          <w:szCs w:val="28"/>
        </w:rPr>
        <w:t>应当订立书面合同而未订立书面合同，且未经公司领导认可的；</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（二）</w:t>
      </w:r>
      <w:r>
        <w:rPr>
          <w:rFonts w:eastAsia="黑体" w:cs="仿宋;宋体" w:ascii="SimHei" w:hAnsi="SimHei"/>
          <w:sz w:val="28"/>
          <w:szCs w:val="28"/>
        </w:rPr>
        <w:tab/>
      </w:r>
      <w:r>
        <w:rPr>
          <w:rFonts w:ascii="SimHei" w:hAnsi="SimHei" w:cs="仿宋;宋体" w:eastAsia="黑体"/>
          <w:sz w:val="28"/>
          <w:szCs w:val="28"/>
        </w:rPr>
        <w:t>收款单位与合同对方当事人名称不一致的。</w:t>
      </w:r>
    </w:p>
    <w:p>
      <w:pPr>
        <w:pStyle w:val="32"/>
        <w:ind w:firstLine="562"/>
        <w:rPr/>
      </w:pPr>
      <w:r>
        <w:rPr>
          <w:rFonts w:ascii="SimHei" w:hAnsi="SimHei" w:cs="仿宋;宋体" w:eastAsia="黑体"/>
          <w:b/>
          <w:sz w:val="28"/>
          <w:szCs w:val="28"/>
        </w:rPr>
        <w:t>第三十条</w:t>
      </w:r>
      <w:r>
        <w:rPr>
          <w:rFonts w:ascii="SimHei" w:hAnsi="SimHei" w:cs="仿宋;宋体" w:eastAsia="黑体"/>
          <w:sz w:val="28"/>
          <w:szCs w:val="28"/>
        </w:rPr>
        <w:t xml:space="preserve">  除付款以外，其他合同义务，一般应当拒绝由第三人代为履行合同义务。由非签约的对方合同当事人的第三人代为付款的，应当由对方当事人及第三人出具书面说明。对方付款单位与合同对方当事人名称不一致的，经办人应当督促付款单位出具代付款证明。</w:t>
      </w:r>
    </w:p>
    <w:p>
      <w:pPr>
        <w:pStyle w:val="32"/>
        <w:ind w:firstLine="562"/>
        <w:rPr/>
      </w:pPr>
      <w:r>
        <w:rPr>
          <w:rFonts w:ascii="SimHei" w:hAnsi="SimHei" w:cs="仿宋;宋体" w:eastAsia="黑体"/>
          <w:b/>
          <w:sz w:val="28"/>
          <w:szCs w:val="28"/>
        </w:rPr>
        <w:t>第三十一条</w:t>
      </w:r>
      <w:r>
        <w:rPr>
          <w:rFonts w:ascii="SimHei" w:hAnsi="SimHei" w:cs="仿宋;宋体" w:eastAsia="黑体"/>
          <w:sz w:val="28"/>
          <w:szCs w:val="28"/>
        </w:rPr>
        <w:t xml:space="preserve">  在合同履行过程中，合同对方所开具的发票必须按财务部确定的审核签字程序流转完成后，再转财务审核付款。</w:t>
      </w:r>
    </w:p>
    <w:p>
      <w:pPr>
        <w:pStyle w:val="32"/>
        <w:ind w:firstLine="562"/>
        <w:rPr/>
      </w:pPr>
      <w:r>
        <w:rPr>
          <w:rFonts w:ascii="SimHei" w:hAnsi="SimHei" w:cs="仿宋;宋体" w:eastAsia="黑体"/>
          <w:b/>
          <w:sz w:val="28"/>
          <w:szCs w:val="28"/>
        </w:rPr>
        <w:t>第三十二条</w:t>
      </w:r>
      <w:r>
        <w:rPr>
          <w:rFonts w:ascii="SimHei" w:hAnsi="SimHei" w:cs="仿宋;宋体" w:eastAsia="黑体"/>
          <w:sz w:val="28"/>
          <w:szCs w:val="28"/>
        </w:rPr>
        <w:t xml:space="preserve">  对方要求公司向第三人履行义务的，经办人一般应予以拒绝，如确需向第三人履行的，必须按本制度进行合同变更。</w:t>
      </w:r>
    </w:p>
    <w:p>
      <w:pPr>
        <w:pStyle w:val="Heading3"/>
        <w:rPr>
          <w:rFonts w:ascii="仿宋;宋体" w:hAnsi="仿宋;宋体" w:eastAsia="仿宋;宋体" w:cs="仿宋;宋体"/>
          <w:szCs w:val="28"/>
        </w:rPr>
      </w:pPr>
      <w:bookmarkStart w:id="8" w:name="__RefHeading___Toc277935399"/>
      <w:bookmarkEnd w:id="8"/>
      <w:r>
        <w:rPr>
          <w:rFonts w:ascii="SimHei" w:hAnsi="SimHei" w:cs="仿宋;宋体" w:eastAsia="黑体"/>
          <w:szCs w:val="28"/>
        </w:rPr>
        <w:t>第三节  合同的变更和解除</w:t>
      </w:r>
    </w:p>
    <w:p>
      <w:pPr>
        <w:pStyle w:val="32"/>
        <w:ind w:firstLine="562"/>
        <w:rPr/>
      </w:pPr>
      <w:r>
        <w:rPr>
          <w:rFonts w:ascii="SimHei" w:hAnsi="SimHei" w:cs="仿宋;宋体" w:eastAsia="黑体"/>
          <w:b/>
          <w:sz w:val="28"/>
          <w:szCs w:val="28"/>
        </w:rPr>
        <w:t xml:space="preserve">第三十三条  </w:t>
      </w:r>
      <w:r>
        <w:rPr>
          <w:rFonts w:ascii="SimHei" w:hAnsi="SimHei" w:cs="仿宋;宋体" w:eastAsia="黑体"/>
          <w:sz w:val="28"/>
          <w:szCs w:val="28"/>
        </w:rPr>
        <w:t>变更或解除合同必须依照合同的订立流程经合同所属业务负责人、法务管理人员等相关人员和公司领导审核通过方可。</w:t>
      </w:r>
    </w:p>
    <w:p>
      <w:pPr>
        <w:pStyle w:val="32"/>
        <w:ind w:firstLine="562"/>
        <w:rPr/>
      </w:pPr>
      <w:r>
        <w:rPr>
          <w:rFonts w:ascii="SimHei" w:hAnsi="SimHei" w:cs="仿宋;宋体" w:eastAsia="黑体"/>
          <w:b/>
          <w:sz w:val="28"/>
          <w:szCs w:val="28"/>
        </w:rPr>
        <w:t>第三十四条</w:t>
      </w:r>
      <w:r>
        <w:rPr>
          <w:rFonts w:ascii="SimHei" w:hAnsi="SimHei" w:cs="仿宋;宋体" w:eastAsia="黑体"/>
          <w:sz w:val="28"/>
          <w:szCs w:val="28"/>
        </w:rPr>
        <w:t xml:space="preserve">  变更或解除合同的通知、双方变更或解除合同的协议均应采用书面形式，并按规定经审核后加盖公章或合同专用章。</w:t>
      </w:r>
    </w:p>
    <w:p>
      <w:pPr>
        <w:pStyle w:val="32"/>
        <w:ind w:firstLine="562"/>
        <w:rPr/>
      </w:pPr>
      <w:r>
        <w:rPr>
          <w:rFonts w:ascii="SimHei" w:hAnsi="SimHei" w:cs="仿宋;宋体" w:eastAsia="黑体"/>
          <w:b/>
          <w:sz w:val="28"/>
          <w:szCs w:val="28"/>
        </w:rPr>
        <w:t>第三十五条</w:t>
      </w:r>
      <w:r>
        <w:rPr>
          <w:rFonts w:ascii="SimHei" w:hAnsi="SimHei" w:cs="仿宋;宋体" w:eastAsia="黑体"/>
          <w:sz w:val="28"/>
          <w:szCs w:val="28"/>
        </w:rPr>
        <w:t xml:space="preserve">  经办人收到对方要求变更或解除合同的通知必须立即按照本制度的要求进行合同审批。</w:t>
      </w:r>
    </w:p>
    <w:p>
      <w:pPr>
        <w:pStyle w:val="32"/>
        <w:ind w:firstLine="562"/>
        <w:rPr/>
      </w:pPr>
      <w:r>
        <w:rPr>
          <w:rFonts w:ascii="SimHei" w:hAnsi="SimHei" w:cs="仿宋;宋体" w:eastAsia="黑体"/>
          <w:b/>
          <w:sz w:val="28"/>
          <w:szCs w:val="28"/>
        </w:rPr>
        <w:t>第三十六条</w:t>
      </w:r>
      <w:r>
        <w:rPr>
          <w:rFonts w:ascii="SimHei" w:hAnsi="SimHei" w:cs="仿宋;宋体" w:eastAsia="黑体"/>
          <w:sz w:val="28"/>
          <w:szCs w:val="28"/>
        </w:rPr>
        <w:t xml:space="preserve">  变更或解除合同的通知和回复应符合公文收发的要求，并挂号寄发或由对方签收，挂号或签收凭证作为合同组成部分归入合同档案。</w:t>
      </w:r>
    </w:p>
    <w:p>
      <w:pPr>
        <w:pStyle w:val="32"/>
        <w:ind w:firstLine="562"/>
        <w:rPr/>
      </w:pPr>
      <w:r>
        <w:rPr>
          <w:rFonts w:ascii="SimHei" w:hAnsi="SimHei" w:cs="仿宋;宋体" w:eastAsia="黑体"/>
          <w:b/>
          <w:sz w:val="28"/>
          <w:szCs w:val="28"/>
        </w:rPr>
        <w:t>第三十七条</w:t>
      </w:r>
      <w:r>
        <w:rPr>
          <w:rFonts w:ascii="SimHei" w:hAnsi="SimHei" w:cs="仿宋;宋体" w:eastAsia="黑体"/>
          <w:sz w:val="28"/>
          <w:szCs w:val="28"/>
        </w:rPr>
        <w:t xml:space="preserve">  变更或解除合同的文本作为原合同的组成部分或更新部分与原合同有同样法律效力，纳入本制度规定的管理范围。</w:t>
      </w:r>
    </w:p>
    <w:p>
      <w:pPr>
        <w:pStyle w:val="32"/>
        <w:ind w:firstLine="562"/>
        <w:rPr>
          <w:rFonts w:ascii="仿宋;宋体" w:hAnsi="仿宋;宋体" w:eastAsia="仿宋;宋体" w:cs="仿宋;宋体"/>
          <w:b/>
          <w:b/>
          <w:sz w:val="28"/>
          <w:szCs w:val="28"/>
        </w:rPr>
      </w:pPr>
      <w:r>
        <w:rPr>
          <w:rFonts w:ascii="SimHei" w:hAnsi="SimHei" w:cs="仿宋;宋体" w:eastAsia="黑体"/>
          <w:b/>
          <w:sz w:val="28"/>
          <w:szCs w:val="28"/>
        </w:rPr>
        <w:t>第三十八条</w:t>
      </w:r>
      <w:r>
        <w:rPr>
          <w:rFonts w:ascii="SimHei" w:hAnsi="SimHei" w:cs="仿宋;宋体" w:eastAsia="黑体"/>
          <w:sz w:val="28"/>
          <w:szCs w:val="28"/>
        </w:rPr>
        <w:t xml:space="preserve">  合同变更后，合同编号不予改变。</w:t>
      </w:r>
    </w:p>
    <w:p>
      <w:pPr>
        <w:pStyle w:val="205050505"/>
        <w:rPr/>
      </w:pPr>
      <w:bookmarkStart w:id="9" w:name="__RefHeading___Toc277935400"/>
      <w:bookmarkEnd w:id="9"/>
      <w:r>
        <w:rPr>
          <w:rFonts w:ascii="SimHei" w:hAnsi="SimHei" w:cs="黑体;SimHei" w:eastAsia="黑体"/>
          <w:sz w:val="28"/>
          <w:szCs w:val="28"/>
        </w:rPr>
        <w:t>第</w:t>
      </w:r>
      <w:r>
        <w:rPr>
          <w:rFonts w:ascii="SimHei" w:hAnsi="SimHei" w:cs="黑体;SimHei" w:eastAsia="黑体"/>
          <w:sz w:val="28"/>
          <w:szCs w:val="28"/>
        </w:rPr>
        <w:t>三</w:t>
      </w:r>
      <w:r>
        <w:rPr>
          <w:rFonts w:ascii="SimHei" w:hAnsi="SimHei" w:cs="黑体;SimHei" w:eastAsia="黑体"/>
          <w:sz w:val="28"/>
          <w:szCs w:val="28"/>
        </w:rPr>
        <w:t>章</w:t>
      </w:r>
      <w:r>
        <w:rPr>
          <w:rFonts w:ascii="SimHei" w:hAnsi="SimHei" w:cs="黑体;SimHei" w:eastAsia="黑体"/>
          <w:sz w:val="28"/>
          <w:szCs w:val="28"/>
        </w:rPr>
        <w:t xml:space="preserve">  合同资料的管理</w:t>
      </w:r>
    </w:p>
    <w:p>
      <w:pPr>
        <w:pStyle w:val="32"/>
        <w:ind w:firstLine="562"/>
        <w:rPr/>
      </w:pPr>
      <w:r>
        <w:rPr>
          <w:rFonts w:ascii="SimHei" w:hAnsi="SimHei" w:cs="仿宋;宋体" w:eastAsia="黑体"/>
          <w:b/>
          <w:sz w:val="28"/>
          <w:szCs w:val="28"/>
        </w:rPr>
        <w:t>第</w:t>
      </w:r>
      <w:r>
        <w:rPr>
          <w:rFonts w:ascii="SimHei" w:hAnsi="SimHei" w:cs="仿宋;宋体" w:eastAsia="黑体"/>
          <w:b/>
          <w:sz w:val="28"/>
          <w:szCs w:val="28"/>
        </w:rPr>
        <w:t>三十九</w:t>
      </w:r>
      <w:r>
        <w:rPr>
          <w:rFonts w:ascii="SimHei" w:hAnsi="SimHei" w:cs="仿宋;宋体" w:eastAsia="黑体"/>
          <w:b/>
          <w:sz w:val="28"/>
          <w:szCs w:val="28"/>
        </w:rPr>
        <w:t>条</w:t>
      </w:r>
      <w:r>
        <w:rPr>
          <w:rFonts w:ascii="SimHei" w:hAnsi="SimHei" w:cs="仿宋;宋体" w:eastAsia="黑体"/>
          <w:sz w:val="28"/>
          <w:szCs w:val="28"/>
        </w:rPr>
        <w:t xml:space="preserve">  合同作为公司对外经济活动的重要法律依据和公司内部明确职责的凭证，有关人员应保守合同秘密，并及时按程序专门归档。</w:t>
      </w:r>
    </w:p>
    <w:p>
      <w:pPr>
        <w:pStyle w:val="32"/>
        <w:ind w:firstLine="562"/>
        <w:rPr/>
      </w:pPr>
      <w:r>
        <w:rPr>
          <w:rFonts w:ascii="SimHei" w:hAnsi="SimHei" w:cs="仿宋;宋体" w:eastAsia="黑体"/>
          <w:b/>
          <w:sz w:val="28"/>
          <w:szCs w:val="28"/>
        </w:rPr>
        <w:t>第四十条</w:t>
      </w:r>
      <w:r>
        <w:rPr>
          <w:rFonts w:ascii="SimHei" w:hAnsi="SimHei" w:cs="仿宋;宋体" w:eastAsia="黑体"/>
          <w:sz w:val="28"/>
          <w:szCs w:val="28"/>
        </w:rPr>
        <w:t xml:space="preserve">  合同签章生效后，合同原件一份交财务部，同时于</w:t>
      </w:r>
      <w:r>
        <w:rPr>
          <w:rFonts w:eastAsia="黑体" w:cs="仿宋;宋体" w:ascii="SimHei" w:hAnsi="SimHei"/>
          <w:sz w:val="28"/>
          <w:szCs w:val="28"/>
        </w:rPr>
        <w:t>5</w:t>
      </w:r>
      <w:r>
        <w:rPr>
          <w:rFonts w:ascii="SimHei" w:hAnsi="SimHei" w:cs="仿宋;宋体" w:eastAsia="黑体"/>
          <w:sz w:val="28"/>
          <w:szCs w:val="28"/>
        </w:rPr>
        <w:t>日内将合同审批流转单及原件一份交总部法务管理人员归档；合同有关的业务资料由相关的业务业务负责单位保管。只有一份正本的，复印件存于相关的业务负责单位，正本存法务管理人员处。</w:t>
      </w:r>
    </w:p>
    <w:p>
      <w:pPr>
        <w:pStyle w:val="32"/>
        <w:ind w:firstLine="562"/>
        <w:rPr/>
      </w:pPr>
      <w:r>
        <w:rPr>
          <w:rFonts w:ascii="SimHei" w:hAnsi="SimHei" w:cs="仿宋;宋体" w:eastAsia="黑体"/>
          <w:b/>
          <w:sz w:val="28"/>
          <w:szCs w:val="28"/>
        </w:rPr>
        <w:t>第四十一条</w:t>
      </w:r>
      <w:r>
        <w:rPr>
          <w:rFonts w:ascii="SimHei" w:hAnsi="SimHei" w:cs="仿宋;宋体" w:eastAsia="黑体"/>
          <w:sz w:val="28"/>
          <w:szCs w:val="28"/>
        </w:rPr>
        <w:t xml:space="preserve">  合同订立后，在履行过程中，经办人应将双方签字盖章的初始资料（如租赁合同或承包合同开始履行时的移交清单、水电表的抄表单等；采购合同的销货清单、货物说明、报价书等；工程合同的开工报告等）应作为相应的合同附件列入本业务合同档案；经办人对双方在合同履行过程中的会议纪要等应当由会议各方签字并列入合同档案，有条件的，并作会议录音。</w:t>
      </w:r>
    </w:p>
    <w:p>
      <w:pPr>
        <w:pStyle w:val="32"/>
        <w:ind w:firstLine="562"/>
        <w:rPr/>
      </w:pPr>
      <w:r>
        <w:rPr>
          <w:rFonts w:ascii="SimHei" w:hAnsi="SimHei" w:cs="仿宋;宋体" w:eastAsia="黑体"/>
          <w:b/>
          <w:sz w:val="28"/>
          <w:szCs w:val="28"/>
        </w:rPr>
        <w:t>第四十二条</w:t>
      </w:r>
      <w:r>
        <w:rPr>
          <w:rFonts w:ascii="SimHei" w:hAnsi="SimHei" w:cs="仿宋;宋体" w:eastAsia="黑体"/>
          <w:sz w:val="28"/>
          <w:szCs w:val="28"/>
        </w:rPr>
        <w:t xml:space="preserve">  在合同履行过程中，经办人向对方发送的公函、通知等文件，应附上对方签收的文件或邮局已妥寄的快递详情单，一并列入相应的合同档案。</w:t>
      </w:r>
    </w:p>
    <w:p>
      <w:pPr>
        <w:pStyle w:val="32"/>
        <w:ind w:firstLine="562"/>
        <w:rPr/>
      </w:pPr>
      <w:r>
        <w:rPr>
          <w:rFonts w:ascii="SimHei" w:hAnsi="SimHei" w:cs="仿宋;宋体" w:eastAsia="黑体"/>
          <w:b/>
          <w:sz w:val="28"/>
          <w:szCs w:val="28"/>
        </w:rPr>
        <w:t>第四十三条</w:t>
      </w:r>
      <w:r>
        <w:rPr>
          <w:rFonts w:ascii="SimHei" w:hAnsi="SimHei" w:cs="仿宋;宋体" w:eastAsia="黑体"/>
          <w:sz w:val="28"/>
          <w:szCs w:val="28"/>
        </w:rPr>
        <w:t xml:space="preserve">  合同履行过程中经办人应妥善管理合同资料，对工程合同的有关技术资料、图表等重要原始资料应建立出借、领用制度，以保证合同的完整性。</w:t>
      </w:r>
    </w:p>
    <w:p>
      <w:pPr>
        <w:pStyle w:val="205050505"/>
        <w:rPr/>
      </w:pPr>
      <w:bookmarkStart w:id="10" w:name="__RefHeading___Toc277935401"/>
      <w:bookmarkEnd w:id="10"/>
      <w:r>
        <w:rPr>
          <w:rFonts w:ascii="SimHei" w:hAnsi="SimHei" w:cs="黑体;SimHei" w:eastAsia="黑体"/>
          <w:sz w:val="28"/>
          <w:szCs w:val="28"/>
        </w:rPr>
        <w:t>第</w:t>
      </w:r>
      <w:r>
        <w:rPr>
          <w:rFonts w:ascii="SimHei" w:hAnsi="SimHei" w:cs="黑体;SimHei" w:eastAsia="黑体"/>
          <w:sz w:val="28"/>
          <w:szCs w:val="28"/>
        </w:rPr>
        <w:t>四</w:t>
      </w:r>
      <w:r>
        <w:rPr>
          <w:rFonts w:ascii="SimHei" w:hAnsi="SimHei" w:cs="黑体;SimHei" w:eastAsia="黑体"/>
          <w:sz w:val="28"/>
          <w:szCs w:val="28"/>
        </w:rPr>
        <w:t>章</w:t>
      </w:r>
      <w:r>
        <w:rPr>
          <w:rFonts w:ascii="SimHei" w:hAnsi="SimHei" w:cs="黑体;SimHei" w:eastAsia="黑体"/>
          <w:sz w:val="28"/>
          <w:szCs w:val="28"/>
        </w:rPr>
        <w:t xml:space="preserve">  其他规定</w:t>
      </w:r>
    </w:p>
    <w:p>
      <w:pPr>
        <w:pStyle w:val="Heading3"/>
        <w:rPr>
          <w:rFonts w:ascii="仿宋;宋体" w:hAnsi="仿宋;宋体" w:eastAsia="仿宋;宋体" w:cs="仿宋;宋体"/>
          <w:szCs w:val="28"/>
        </w:rPr>
      </w:pPr>
      <w:bookmarkStart w:id="11" w:name="__RefHeading___Toc277935402"/>
      <w:bookmarkEnd w:id="11"/>
      <w:r>
        <w:rPr>
          <w:rFonts w:ascii="SimHei" w:hAnsi="SimHei" w:cs="仿宋;宋体" w:eastAsia="黑体"/>
          <w:szCs w:val="28"/>
        </w:rPr>
        <w:t>第一节  提前履行的处理</w:t>
      </w:r>
    </w:p>
    <w:p>
      <w:pPr>
        <w:pStyle w:val="32"/>
        <w:ind w:firstLine="562"/>
        <w:rPr/>
      </w:pPr>
      <w:r>
        <w:rPr>
          <w:rFonts w:ascii="SimHei" w:hAnsi="SimHei" w:cs="仿宋;宋体" w:eastAsia="黑体"/>
          <w:b/>
          <w:sz w:val="28"/>
          <w:szCs w:val="28"/>
        </w:rPr>
        <w:t>第四十四条</w:t>
      </w:r>
      <w:r>
        <w:rPr>
          <w:rFonts w:ascii="SimHei" w:hAnsi="SimHei" w:cs="仿宋;宋体" w:eastAsia="黑体"/>
          <w:sz w:val="28"/>
          <w:szCs w:val="28"/>
        </w:rPr>
        <w:t xml:space="preserve">  在不损害公司利益的情况下，可以同意对方提前履行义务，但应由对方出具书面文件，说明不要求公司同时提前履行付款等义务。</w:t>
      </w:r>
    </w:p>
    <w:p>
      <w:pPr>
        <w:pStyle w:val="Heading3"/>
        <w:rPr>
          <w:rFonts w:ascii="仿宋;宋体" w:hAnsi="仿宋;宋体" w:eastAsia="仿宋;宋体" w:cs="仿宋;宋体"/>
          <w:szCs w:val="28"/>
        </w:rPr>
      </w:pPr>
      <w:bookmarkStart w:id="12" w:name="__RefHeading___Toc277935403"/>
      <w:bookmarkEnd w:id="12"/>
      <w:r>
        <w:rPr>
          <w:rFonts w:ascii="SimHei" w:hAnsi="SimHei" w:cs="仿宋;宋体" w:eastAsia="黑体"/>
          <w:szCs w:val="28"/>
        </w:rPr>
        <w:t>第二节  履行顺序</w:t>
      </w:r>
    </w:p>
    <w:p>
      <w:pPr>
        <w:pStyle w:val="32"/>
        <w:ind w:firstLine="562"/>
        <w:rPr/>
      </w:pPr>
      <w:r>
        <w:rPr>
          <w:rFonts w:ascii="SimHei" w:hAnsi="SimHei" w:cs="仿宋;宋体" w:eastAsia="黑体"/>
          <w:b/>
          <w:sz w:val="28"/>
          <w:szCs w:val="28"/>
        </w:rPr>
        <w:t>第四十五条</w:t>
      </w:r>
      <w:r>
        <w:rPr>
          <w:rFonts w:ascii="SimHei" w:hAnsi="SimHei" w:cs="仿宋;宋体" w:eastAsia="黑体"/>
          <w:sz w:val="28"/>
          <w:szCs w:val="28"/>
        </w:rPr>
        <w:t xml:space="preserve">  在合同约定的义务没有先后顺序或约定同时履行的情况下，公司在对方履行前可以拒绝履行相应的义务。</w:t>
      </w:r>
    </w:p>
    <w:p>
      <w:pPr>
        <w:pStyle w:val="Heading3"/>
        <w:rPr>
          <w:rFonts w:ascii="仿宋;宋体" w:hAnsi="仿宋;宋体" w:eastAsia="仿宋;宋体" w:cs="仿宋;宋体"/>
          <w:szCs w:val="28"/>
        </w:rPr>
      </w:pPr>
      <w:bookmarkStart w:id="13" w:name="__RefHeading___Toc277935404"/>
      <w:bookmarkEnd w:id="13"/>
      <w:r>
        <w:rPr>
          <w:rFonts w:ascii="SimHei" w:hAnsi="SimHei" w:cs="仿宋;宋体" w:eastAsia="黑体"/>
          <w:szCs w:val="28"/>
        </w:rPr>
        <w:t>第三节  履行合同不符约定或存在瑕疵的处理</w:t>
      </w:r>
    </w:p>
    <w:p>
      <w:pPr>
        <w:pStyle w:val="32"/>
        <w:ind w:firstLine="562"/>
        <w:rPr/>
      </w:pPr>
      <w:r>
        <w:rPr>
          <w:rFonts w:ascii="SimHei" w:hAnsi="SimHei" w:cs="仿宋;宋体" w:eastAsia="黑体"/>
          <w:b/>
          <w:sz w:val="28"/>
          <w:szCs w:val="28"/>
        </w:rPr>
        <w:t>第四十六条</w:t>
      </w:r>
      <w:r>
        <w:rPr>
          <w:rFonts w:ascii="SimHei" w:hAnsi="SimHei" w:cs="仿宋;宋体" w:eastAsia="黑体"/>
          <w:sz w:val="28"/>
          <w:szCs w:val="28"/>
        </w:rPr>
        <w:t xml:space="preserve">  在合同履行过程中，对方履行合同不符约定或存在瑕疵时，首先应做好证据的保存。经业务负责人同意后</w:t>
      </w:r>
      <w:r>
        <w:rPr>
          <w:rFonts w:eastAsia="黑体" w:cs="仿宋;宋体" w:ascii="SimHei" w:hAnsi="SimHei"/>
          <w:sz w:val="28"/>
          <w:szCs w:val="28"/>
        </w:rPr>
        <w:t>,</w:t>
      </w:r>
      <w:r>
        <w:rPr>
          <w:rFonts w:ascii="SimHei" w:hAnsi="SimHei" w:cs="仿宋;宋体" w:eastAsia="黑体"/>
          <w:sz w:val="28"/>
          <w:szCs w:val="28"/>
        </w:rPr>
        <w:t>经办人可以采取以下方式进行证据的保存：</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（一）要求对方当事人到场对存在的问题进行确认，并做好现场记录，由双方当事人签字；</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（二）发出异议通知书，要求对方在通知书上记载问题属实；</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（三）对产品或现场进行拍照；</w:t>
      </w:r>
    </w:p>
    <w:p>
      <w:pPr>
        <w:pStyle w:val="32"/>
        <w:ind w:firstLine="560"/>
        <w:rPr>
          <w:rFonts w:ascii="仿宋;宋体" w:hAnsi="仿宋;宋体" w:eastAsia="仿宋;宋体" w:cs="仿宋;宋体"/>
          <w:sz w:val="28"/>
          <w:szCs w:val="28"/>
        </w:rPr>
      </w:pPr>
      <w:r>
        <w:rPr>
          <w:rFonts w:ascii="SimHei" w:hAnsi="SimHei" w:cs="仿宋;宋体" w:eastAsia="黑体"/>
          <w:sz w:val="28"/>
          <w:szCs w:val="28"/>
        </w:rPr>
        <w:t>（四）对产品等交由当地权威检验机构（如质监局、卫生局等）进行检验；</w:t>
      </w:r>
    </w:p>
    <w:p>
      <w:pPr>
        <w:pStyle w:val="32"/>
        <w:ind w:firstLine="562"/>
        <w:rPr/>
      </w:pPr>
      <w:r>
        <w:rPr>
          <w:rFonts w:ascii="SimHei" w:hAnsi="SimHei" w:cs="仿宋;宋体" w:eastAsia="黑体"/>
          <w:b/>
          <w:sz w:val="28"/>
          <w:szCs w:val="28"/>
        </w:rPr>
        <w:t>第四十七条</w:t>
      </w:r>
      <w:r>
        <w:rPr>
          <w:rFonts w:ascii="SimHei" w:hAnsi="SimHei" w:cs="仿宋;宋体" w:eastAsia="黑体"/>
          <w:sz w:val="28"/>
          <w:szCs w:val="28"/>
        </w:rPr>
        <w:t xml:space="preserve">  在保存证据的同时，经办人经业务负责人同意后可以按以下方式处理：</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（一）与对方协商处理办法；</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（二）依据合同明确约定的方式处理；</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（三）通知财务部暂停相关款项的支付；</w:t>
      </w:r>
    </w:p>
    <w:p>
      <w:pPr>
        <w:pStyle w:val="32"/>
        <w:ind w:firstLine="560"/>
        <w:rPr>
          <w:rFonts w:ascii="仿宋;宋体" w:hAnsi="仿宋;宋体" w:eastAsia="仿宋;宋体" w:cs="仿宋;宋体"/>
          <w:sz w:val="28"/>
          <w:szCs w:val="28"/>
        </w:rPr>
      </w:pPr>
      <w:r>
        <w:rPr>
          <w:rFonts w:ascii="SimHei" w:hAnsi="SimHei" w:cs="仿宋;宋体" w:eastAsia="黑体"/>
          <w:sz w:val="28"/>
          <w:szCs w:val="28"/>
        </w:rPr>
        <w:t>（四）向当地政府主管部门举报。</w:t>
      </w:r>
    </w:p>
    <w:p>
      <w:pPr>
        <w:pStyle w:val="32"/>
        <w:ind w:firstLine="562"/>
        <w:rPr/>
      </w:pPr>
      <w:r>
        <w:rPr>
          <w:rFonts w:ascii="SimHei" w:hAnsi="SimHei" w:cs="仿宋;宋体" w:eastAsia="黑体"/>
          <w:b/>
          <w:sz w:val="28"/>
          <w:szCs w:val="28"/>
        </w:rPr>
        <w:t>第四十八条</w:t>
      </w:r>
      <w:r>
        <w:rPr>
          <w:rFonts w:ascii="SimHei" w:hAnsi="SimHei" w:cs="仿宋;宋体" w:eastAsia="黑体"/>
          <w:sz w:val="28"/>
          <w:szCs w:val="28"/>
        </w:rPr>
        <w:t xml:space="preserve">  对方当事人延期履行合同义务的处理</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（一）对方延期履行在三日以内的，经办人应当口头催促对方履行；</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（二）对方延期履行在三日以上七日以内的，经业务负责人同意后，经办人应当向对方发出限期履行的书面通知等公函；</w:t>
      </w:r>
    </w:p>
    <w:p>
      <w:pPr>
        <w:pStyle w:val="32"/>
        <w:ind w:firstLine="560"/>
        <w:rPr>
          <w:rFonts w:ascii="仿宋;宋体" w:hAnsi="仿宋;宋体" w:eastAsia="仿宋;宋体" w:cs="仿宋;宋体"/>
          <w:sz w:val="28"/>
          <w:szCs w:val="28"/>
        </w:rPr>
      </w:pPr>
      <w:r>
        <w:rPr>
          <w:rFonts w:ascii="SimHei" w:hAnsi="SimHei" w:cs="仿宋;宋体" w:eastAsia="黑体"/>
          <w:sz w:val="28"/>
          <w:szCs w:val="28"/>
        </w:rPr>
        <w:t>（三）对方延期在七日以上十五日以内的，经业务负责人同意后，经办人应当要求对方出具限期履行的书面承诺；</w:t>
      </w:r>
    </w:p>
    <w:p>
      <w:pPr>
        <w:pStyle w:val="32"/>
        <w:ind w:firstLine="560"/>
        <w:rPr>
          <w:rFonts w:ascii="仿宋;宋体" w:hAnsi="仿宋;宋体" w:eastAsia="仿宋;宋体" w:cs="仿宋;宋体"/>
          <w:sz w:val="28"/>
          <w:szCs w:val="28"/>
        </w:rPr>
      </w:pPr>
      <w:r>
        <w:rPr>
          <w:rFonts w:ascii="SimHei" w:hAnsi="SimHei" w:cs="仿宋;宋体" w:eastAsia="黑体"/>
          <w:sz w:val="28"/>
          <w:szCs w:val="28"/>
        </w:rPr>
        <w:t>（四）延期超过十五日以上或对方拒绝出具限期履行的书面承诺的，必须业务负责人，由业务负责人决定处理方式或上报总裁。</w:t>
      </w:r>
    </w:p>
    <w:p>
      <w:pPr>
        <w:pStyle w:val="32"/>
        <w:ind w:firstLine="562"/>
        <w:rPr/>
      </w:pPr>
      <w:r>
        <w:rPr>
          <w:rFonts w:ascii="SimHei" w:hAnsi="SimHei" w:cs="仿宋;宋体" w:eastAsia="黑体"/>
          <w:b/>
          <w:sz w:val="28"/>
          <w:szCs w:val="28"/>
        </w:rPr>
        <w:t>第四十九条</w:t>
      </w:r>
      <w:r>
        <w:rPr>
          <w:rFonts w:ascii="SimHei" w:hAnsi="SimHei" w:cs="仿宋;宋体" w:eastAsia="黑体"/>
          <w:sz w:val="28"/>
          <w:szCs w:val="28"/>
        </w:rPr>
        <w:t xml:space="preserve">  在公司履行合同中有违约情形出现时，经办人在与对方协商过程中，在未得到业务负责人允许前，不得向对方作出任何承诺；在未得到法务管理人员同意前不得向对方确认或出具任何文件。</w:t>
      </w:r>
    </w:p>
    <w:p>
      <w:pPr>
        <w:pStyle w:val="32"/>
        <w:ind w:firstLine="562"/>
        <w:rPr/>
      </w:pPr>
      <w:r>
        <w:rPr>
          <w:rFonts w:ascii="SimHei" w:hAnsi="SimHei" w:cs="仿宋;宋体" w:eastAsia="黑体"/>
          <w:b/>
          <w:sz w:val="28"/>
          <w:szCs w:val="28"/>
        </w:rPr>
        <w:t>第五十条</w:t>
      </w:r>
      <w:r>
        <w:rPr>
          <w:rFonts w:ascii="SimHei" w:hAnsi="SimHei" w:cs="仿宋;宋体" w:eastAsia="黑体"/>
          <w:sz w:val="28"/>
          <w:szCs w:val="28"/>
        </w:rPr>
        <w:t xml:space="preserve">  对方有丧失或者可能丧失履行债务能力的情形的处理</w:t>
      </w:r>
    </w:p>
    <w:p>
      <w:pPr>
        <w:pStyle w:val="32"/>
        <w:ind w:firstLine="560"/>
        <w:rPr>
          <w:rFonts w:ascii="仿宋;宋体" w:hAnsi="仿宋;宋体" w:eastAsia="仿宋;宋体" w:cs="仿宋;宋体"/>
          <w:sz w:val="28"/>
          <w:szCs w:val="28"/>
        </w:rPr>
      </w:pPr>
      <w:r>
        <w:rPr>
          <w:rFonts w:ascii="SimHei" w:hAnsi="SimHei" w:cs="仿宋;宋体" w:eastAsia="黑体"/>
          <w:sz w:val="28"/>
          <w:szCs w:val="28"/>
        </w:rPr>
        <w:t>在有证据证明对方存在下述事实时，公司应暂停履行合同义务，并书面通知对方：</w:t>
      </w:r>
      <w:r>
        <w:rPr>
          <w:rFonts w:eastAsia="黑体" w:cs="仿宋;宋体" w:ascii="SimHei" w:hAnsi="SimHei"/>
          <w:sz w:val="28"/>
          <w:szCs w:val="28"/>
        </w:rPr>
        <w:t>1</w:t>
      </w:r>
      <w:r>
        <w:rPr>
          <w:rFonts w:ascii="SimHei" w:hAnsi="SimHei" w:cs="仿宋;宋体" w:eastAsia="黑体"/>
          <w:sz w:val="28"/>
          <w:szCs w:val="28"/>
        </w:rPr>
        <w:t>、对方已经拖欠员工工资超过一个月；</w:t>
      </w:r>
      <w:r>
        <w:rPr>
          <w:rFonts w:eastAsia="黑体" w:cs="仿宋;宋体" w:ascii="SimHei" w:hAnsi="SimHei"/>
          <w:sz w:val="28"/>
          <w:szCs w:val="28"/>
        </w:rPr>
        <w:t>2.</w:t>
      </w:r>
      <w:r>
        <w:rPr>
          <w:rFonts w:ascii="SimHei" w:hAnsi="SimHei" w:cs="仿宋;宋体" w:eastAsia="黑体"/>
          <w:sz w:val="28"/>
          <w:szCs w:val="28"/>
        </w:rPr>
        <w:t>、转移财产；</w:t>
      </w:r>
      <w:r>
        <w:rPr>
          <w:rFonts w:eastAsia="黑体" w:cs="仿宋;宋体" w:ascii="SimHei" w:hAnsi="SimHei"/>
          <w:sz w:val="28"/>
          <w:szCs w:val="28"/>
        </w:rPr>
        <w:t>3</w:t>
      </w:r>
      <w:r>
        <w:rPr>
          <w:rFonts w:ascii="SimHei" w:hAnsi="SimHei" w:cs="仿宋;宋体" w:eastAsia="黑体"/>
          <w:sz w:val="28"/>
          <w:szCs w:val="28"/>
        </w:rPr>
        <w:t>、债务人上门索债；</w:t>
      </w:r>
      <w:r>
        <w:rPr>
          <w:rFonts w:eastAsia="黑体" w:cs="仿宋;宋体" w:ascii="SimHei" w:hAnsi="SimHei"/>
          <w:sz w:val="28"/>
          <w:szCs w:val="28"/>
        </w:rPr>
        <w:t>4</w:t>
      </w:r>
      <w:r>
        <w:rPr>
          <w:rFonts w:ascii="SimHei" w:hAnsi="SimHei" w:cs="仿宋;宋体" w:eastAsia="黑体"/>
          <w:sz w:val="28"/>
          <w:szCs w:val="28"/>
        </w:rPr>
        <w:t>、法院查封、扣押其财产；</w:t>
      </w:r>
      <w:r>
        <w:rPr>
          <w:rFonts w:eastAsia="黑体" w:cs="仿宋;宋体" w:ascii="SimHei" w:hAnsi="SimHei"/>
          <w:sz w:val="28"/>
          <w:szCs w:val="28"/>
        </w:rPr>
        <w:t>5</w:t>
      </w:r>
      <w:r>
        <w:rPr>
          <w:rFonts w:ascii="SimHei" w:hAnsi="SimHei" w:cs="仿宋;宋体" w:eastAsia="黑体"/>
          <w:sz w:val="28"/>
          <w:szCs w:val="28"/>
        </w:rPr>
        <w:t>、其他经营状况严重恶化或丧失商业信誉的事实。</w:t>
      </w:r>
    </w:p>
    <w:p>
      <w:pPr>
        <w:pStyle w:val="Heading3"/>
        <w:rPr>
          <w:rFonts w:ascii="仿宋;宋体" w:hAnsi="仿宋;宋体" w:eastAsia="仿宋;宋体" w:cs="仿宋;宋体"/>
          <w:szCs w:val="28"/>
        </w:rPr>
      </w:pPr>
      <w:bookmarkStart w:id="14" w:name="__RefHeading___Toc277935405"/>
      <w:bookmarkEnd w:id="14"/>
      <w:r>
        <w:rPr>
          <w:rFonts w:ascii="SimHei" w:hAnsi="SimHei" w:cs="仿宋;宋体" w:eastAsia="黑体"/>
          <w:szCs w:val="28"/>
        </w:rPr>
        <w:t>第四节  对方变更主体的处理</w:t>
      </w:r>
    </w:p>
    <w:p>
      <w:pPr>
        <w:pStyle w:val="32"/>
        <w:ind w:firstLine="562"/>
        <w:rPr/>
      </w:pPr>
      <w:r>
        <w:rPr>
          <w:rFonts w:ascii="SimHei" w:hAnsi="SimHei" w:cs="仿宋;宋体" w:eastAsia="黑体"/>
          <w:b/>
          <w:sz w:val="28"/>
          <w:szCs w:val="28"/>
        </w:rPr>
        <w:t>第五十一条</w:t>
      </w:r>
      <w:r>
        <w:rPr>
          <w:rFonts w:ascii="SimHei" w:hAnsi="SimHei" w:cs="仿宋;宋体" w:eastAsia="黑体"/>
          <w:sz w:val="28"/>
          <w:szCs w:val="28"/>
        </w:rPr>
        <w:t xml:space="preserve">  对方当事人变更企业名称的，应当要求对方当事人提供工商局盖章的企业名称变更证明。</w:t>
      </w:r>
    </w:p>
    <w:p>
      <w:pPr>
        <w:pStyle w:val="32"/>
        <w:ind w:firstLine="562"/>
        <w:rPr/>
      </w:pPr>
      <w:r>
        <w:rPr>
          <w:rFonts w:ascii="SimHei" w:hAnsi="SimHei" w:cs="仿宋;宋体" w:eastAsia="黑体"/>
          <w:b/>
          <w:sz w:val="28"/>
          <w:szCs w:val="28"/>
        </w:rPr>
        <w:t>第五十二条</w:t>
      </w:r>
      <w:r>
        <w:rPr>
          <w:rFonts w:ascii="SimHei" w:hAnsi="SimHei" w:cs="仿宋;宋体" w:eastAsia="黑体"/>
          <w:sz w:val="28"/>
          <w:szCs w:val="28"/>
        </w:rPr>
        <w:t xml:space="preserve">  对方当事人转让合同义务的，必须按照本制度进行审批。</w:t>
      </w:r>
    </w:p>
    <w:p>
      <w:pPr>
        <w:pStyle w:val="Heading3"/>
        <w:rPr>
          <w:rFonts w:ascii="仿宋;宋体" w:hAnsi="仿宋;宋体" w:eastAsia="仿宋;宋体" w:cs="仿宋;宋体"/>
          <w:szCs w:val="28"/>
        </w:rPr>
      </w:pPr>
      <w:bookmarkStart w:id="15" w:name="__RefHeading___Toc277935406"/>
      <w:bookmarkEnd w:id="15"/>
      <w:r>
        <w:rPr>
          <w:rFonts w:ascii="SimHei" w:hAnsi="SimHei" w:cs="仿宋;宋体" w:eastAsia="黑体"/>
          <w:szCs w:val="28"/>
        </w:rPr>
        <w:t>第五节  责任</w:t>
      </w:r>
    </w:p>
    <w:p>
      <w:pPr>
        <w:pStyle w:val="32"/>
        <w:ind w:firstLine="562"/>
        <w:rPr/>
      </w:pPr>
      <w:r>
        <w:rPr>
          <w:rFonts w:ascii="SimHei" w:hAnsi="SimHei" w:cs="仿宋;宋体" w:eastAsia="黑体"/>
          <w:b/>
          <w:sz w:val="28"/>
          <w:szCs w:val="28"/>
        </w:rPr>
        <w:t xml:space="preserve">第五十三条 </w:t>
      </w:r>
      <w:r>
        <w:rPr>
          <w:rFonts w:ascii="SimHei" w:hAnsi="SimHei" w:cs="仿宋;宋体" w:eastAsia="黑体"/>
          <w:sz w:val="28"/>
          <w:szCs w:val="28"/>
        </w:rPr>
        <w:t xml:space="preserve"> 凡因越权处理合同事宜、未及时汇报情况和遗失合同有关资料或因其他未遵守本制度的行为而给公司造成损失的，追究其经济和行政责任，并由人力资源管理部门进行处理。</w:t>
      </w:r>
    </w:p>
    <w:p>
      <w:pPr>
        <w:pStyle w:val="32"/>
        <w:ind w:firstLine="562"/>
        <w:rPr/>
      </w:pPr>
      <w:r>
        <w:rPr>
          <w:rFonts w:ascii="SimHei" w:hAnsi="SimHei" w:cs="仿宋;宋体" w:eastAsia="黑体"/>
          <w:b/>
          <w:sz w:val="28"/>
          <w:szCs w:val="28"/>
        </w:rPr>
        <w:t>第五十四条</w:t>
      </w:r>
      <w:r>
        <w:rPr>
          <w:rFonts w:ascii="SimHei" w:hAnsi="SimHei" w:cs="仿宋;宋体" w:eastAsia="黑体"/>
          <w:sz w:val="28"/>
          <w:szCs w:val="28"/>
        </w:rPr>
        <w:t xml:space="preserve">  故意或重大过失而给公司造成重大损失的，移送有关国家机关追究其法律责任。</w:t>
      </w:r>
    </w:p>
    <w:p>
      <w:pPr>
        <w:pStyle w:val="205050505"/>
        <w:rPr>
          <w:rFonts w:ascii="黑体;SimHei" w:hAnsi="黑体;SimHei" w:eastAsia="黑体;SimHei" w:cs="黑体;SimHei"/>
          <w:sz w:val="28"/>
          <w:szCs w:val="28"/>
        </w:rPr>
      </w:pPr>
      <w:bookmarkStart w:id="16" w:name="__RefHeading___Toc277935407"/>
      <w:bookmarkEnd w:id="16"/>
      <w:r>
        <w:rPr>
          <w:rFonts w:ascii="SimHei" w:hAnsi="SimHei" w:cs="黑体;SimHei" w:eastAsia="黑体"/>
          <w:sz w:val="28"/>
          <w:szCs w:val="28"/>
        </w:rPr>
        <w:t>第</w:t>
      </w:r>
      <w:r>
        <w:rPr>
          <w:rFonts w:ascii="SimHei" w:hAnsi="SimHei" w:cs="黑体;SimHei" w:eastAsia="黑体"/>
          <w:sz w:val="28"/>
          <w:szCs w:val="28"/>
        </w:rPr>
        <w:t>五</w:t>
      </w:r>
      <w:r>
        <w:rPr>
          <w:rFonts w:ascii="SimHei" w:hAnsi="SimHei" w:cs="黑体;SimHei" w:eastAsia="黑体"/>
          <w:sz w:val="28"/>
          <w:szCs w:val="28"/>
        </w:rPr>
        <w:t>章</w:t>
      </w:r>
      <w:r>
        <w:rPr>
          <w:rFonts w:ascii="SimHei" w:hAnsi="SimHei" w:cs="黑体;SimHei" w:eastAsia="黑体"/>
          <w:sz w:val="28"/>
          <w:szCs w:val="28"/>
        </w:rPr>
        <w:t xml:space="preserve">  </w:t>
      </w:r>
      <w:r>
        <w:rPr>
          <w:rFonts w:ascii="SimHei" w:hAnsi="SimHei" w:cs="黑体;SimHei" w:eastAsia="黑体"/>
          <w:sz w:val="28"/>
          <w:szCs w:val="28"/>
        </w:rPr>
        <w:t>附则</w:t>
      </w:r>
    </w:p>
    <w:p>
      <w:pPr>
        <w:pStyle w:val="32"/>
        <w:ind w:firstLine="562"/>
        <w:rPr>
          <w:rFonts w:ascii="仿宋;宋体" w:hAnsi="仿宋;宋体" w:eastAsia="仿宋;宋体" w:cs="仿宋;宋体"/>
          <w:sz w:val="28"/>
          <w:szCs w:val="28"/>
        </w:rPr>
      </w:pPr>
      <w:r>
        <w:rPr>
          <w:rFonts w:ascii="SimHei" w:hAnsi="SimHei" w:cs="仿宋;宋体" w:eastAsia="黑体"/>
          <w:b/>
          <w:sz w:val="28"/>
          <w:szCs w:val="28"/>
        </w:rPr>
        <w:t>第</w:t>
      </w:r>
      <w:r>
        <w:rPr>
          <w:rFonts w:ascii="SimHei" w:hAnsi="SimHei" w:cs="仿宋;宋体" w:eastAsia="黑体"/>
          <w:b/>
          <w:sz w:val="28"/>
          <w:szCs w:val="28"/>
        </w:rPr>
        <w:t>五十五</w:t>
      </w:r>
      <w:r>
        <w:rPr>
          <w:rFonts w:ascii="SimHei" w:hAnsi="SimHei" w:cs="仿宋;宋体" w:eastAsia="黑体"/>
          <w:b/>
          <w:sz w:val="28"/>
          <w:szCs w:val="28"/>
        </w:rPr>
        <w:t>条</w:t>
      </w:r>
      <w:r>
        <w:rPr>
          <w:rFonts w:ascii="SimHei" w:hAnsi="SimHei" w:cs="仿宋;宋体" w:eastAsia="黑体"/>
          <w:sz w:val="28"/>
          <w:szCs w:val="28"/>
        </w:rPr>
        <w:t xml:space="preserve">  </w:t>
      </w:r>
      <w:r>
        <w:rPr>
          <w:rFonts w:ascii="SimHei" w:hAnsi="SimHei" w:cs="仿宋;宋体" w:eastAsia="黑体"/>
          <w:sz w:val="28"/>
          <w:szCs w:val="28"/>
        </w:rPr>
        <w:t>本制度</w:t>
      </w:r>
      <w:r>
        <w:rPr>
          <w:rFonts w:ascii="SimHei" w:hAnsi="SimHei" w:cs="仿宋;宋体" w:eastAsia="黑体"/>
          <w:sz w:val="28"/>
          <w:szCs w:val="28"/>
        </w:rPr>
        <w:t>编制及</w:t>
      </w:r>
      <w:r>
        <w:rPr>
          <w:rFonts w:ascii="SimHei" w:hAnsi="SimHei" w:cs="仿宋;宋体" w:eastAsia="黑体"/>
          <w:sz w:val="28"/>
          <w:szCs w:val="28"/>
        </w:rPr>
        <w:t>管理办法由</w:t>
      </w:r>
      <w:r>
        <w:rPr>
          <w:rFonts w:ascii="SimHei" w:hAnsi="SimHei" w:cs="仿宋;宋体" w:eastAsia="黑体"/>
          <w:sz w:val="28"/>
          <w:szCs w:val="28"/>
        </w:rPr>
        <w:t>公司行政人事部</w:t>
      </w:r>
      <w:r>
        <w:rPr>
          <w:rFonts w:ascii="SimHei" w:hAnsi="SimHei" w:cs="仿宋;宋体" w:eastAsia="黑体"/>
          <w:sz w:val="28"/>
          <w:szCs w:val="28"/>
        </w:rPr>
        <w:t>负责解释。</w:t>
      </w:r>
    </w:p>
    <w:p>
      <w:pPr>
        <w:pStyle w:val="32"/>
        <w:ind w:firstLine="562"/>
        <w:rPr>
          <w:rFonts w:ascii="仿宋;宋体" w:hAnsi="仿宋;宋体" w:eastAsia="仿宋;宋体" w:cs="仿宋;宋体"/>
          <w:sz w:val="28"/>
          <w:szCs w:val="28"/>
        </w:rPr>
      </w:pPr>
      <w:r>
        <w:rPr>
          <w:rFonts w:ascii="SimHei" w:hAnsi="SimHei" w:cs="仿宋;宋体" w:eastAsia="黑体"/>
          <w:b/>
          <w:sz w:val="28"/>
          <w:szCs w:val="28"/>
        </w:rPr>
        <w:t>第</w:t>
      </w:r>
      <w:r>
        <w:rPr>
          <w:rFonts w:ascii="SimHei" w:hAnsi="SimHei" w:cs="仿宋;宋体" w:eastAsia="黑体"/>
          <w:b/>
          <w:sz w:val="28"/>
          <w:szCs w:val="28"/>
        </w:rPr>
        <w:t>五十六</w:t>
      </w:r>
      <w:r>
        <w:rPr>
          <w:rFonts w:ascii="SimHei" w:hAnsi="SimHei" w:cs="仿宋;宋体" w:eastAsia="黑体"/>
          <w:b/>
          <w:sz w:val="28"/>
          <w:szCs w:val="28"/>
        </w:rPr>
        <w:t>条</w:t>
      </w:r>
      <w:r>
        <w:rPr>
          <w:rFonts w:ascii="SimHei" w:hAnsi="SimHei" w:cs="仿宋;宋体" w:eastAsia="黑体"/>
          <w:sz w:val="28"/>
          <w:szCs w:val="28"/>
        </w:rPr>
        <w:t xml:space="preserve">  </w:t>
      </w:r>
      <w:r>
        <w:rPr>
          <w:rFonts w:ascii="SimHei" w:hAnsi="SimHei" w:cs="仿宋;宋体" w:eastAsia="黑体"/>
          <w:sz w:val="28"/>
          <w:szCs w:val="28"/>
        </w:rPr>
        <w:t>本办法自</w:t>
      </w:r>
      <w:r>
        <w:rPr>
          <w:rFonts w:ascii="SimHei" w:hAnsi="SimHei" w:cs="仿宋;宋体" w:eastAsia="黑体"/>
          <w:sz w:val="28"/>
          <w:szCs w:val="28"/>
        </w:rPr>
        <w:t>发文</w:t>
      </w:r>
      <w:r>
        <w:rPr>
          <w:rFonts w:ascii="SimHei" w:hAnsi="SimHei" w:cs="仿宋;宋体" w:eastAsia="黑体"/>
          <w:sz w:val="28"/>
          <w:szCs w:val="28"/>
        </w:rPr>
        <w:t>之日起执行。</w:t>
      </w:r>
    </w:p>
    <w:p>
      <w:pPr>
        <w:pStyle w:val="Normal"/>
        <w:snapToGrid w:val="false"/>
        <w:spacing w:lineRule="atLeast" w:line="500"/>
        <w:rPr>
          <w:rFonts w:ascii="仿宋;宋体" w:hAnsi="仿宋;宋体" w:eastAsia="仿宋;宋体" w:cs="仿宋;宋体"/>
          <w:sz w:val="28"/>
          <w:szCs w:val="28"/>
        </w:rPr>
      </w:pPr>
      <w:r>
        <w:rPr>
          <w:rFonts w:eastAsia="黑体" w:cs="仿宋;宋体" w:ascii="SimHei" w:hAnsi="SimHei"/>
          <w:sz w:val="28"/>
          <w:szCs w:val="28"/>
        </w:rPr>
      </w:r>
    </w:p>
    <w:p>
      <w:pPr>
        <w:pStyle w:val="32"/>
        <w:ind w:firstLine="560"/>
        <w:rPr>
          <w:rFonts w:ascii="仿宋;宋体" w:hAnsi="仿宋;宋体" w:eastAsia="仿宋;宋体" w:cs="仿宋;宋体"/>
          <w:sz w:val="28"/>
          <w:szCs w:val="28"/>
        </w:rPr>
      </w:pPr>
      <w:r>
        <w:rPr>
          <w:rFonts w:ascii="SimHei" w:hAnsi="SimHei" w:cs="仿宋;宋体" w:eastAsia="黑体"/>
          <w:sz w:val="28"/>
          <w:szCs w:val="28"/>
        </w:rPr>
        <w:t>附件：</w:t>
      </w:r>
      <w:r>
        <w:rPr>
          <w:rFonts w:eastAsia="黑体" w:cs="仿宋;宋体" w:ascii="SimHei" w:hAnsi="SimHei"/>
          <w:sz w:val="28"/>
          <w:szCs w:val="28"/>
        </w:rPr>
        <w:tab/>
        <w:t>1</w:t>
      </w:r>
      <w:r>
        <w:rPr>
          <w:rFonts w:ascii="SimHei" w:hAnsi="SimHei" w:cs="仿宋;宋体" w:eastAsia="黑体"/>
          <w:sz w:val="28"/>
          <w:szCs w:val="28"/>
        </w:rPr>
        <w:t>、合同审批流程图</w:t>
      </w:r>
      <w:r>
        <w:rPr>
          <w:rFonts w:eastAsia="黑体" w:cs="仿宋;宋体" w:ascii="SimHei" w:hAnsi="SimHei"/>
          <w:sz w:val="28"/>
          <w:szCs w:val="28"/>
        </w:rPr>
        <w:tab/>
        <w:tab/>
        <w:tab/>
      </w:r>
    </w:p>
    <w:p>
      <w:pPr>
        <w:pStyle w:val="32"/>
        <w:ind w:start="780" w:firstLine="560"/>
        <w:rPr>
          <w:rFonts w:ascii="仿宋;宋体" w:hAnsi="仿宋;宋体" w:eastAsia="仿宋;宋体" w:cs="仿宋;宋体"/>
          <w:sz w:val="28"/>
          <w:szCs w:val="28"/>
        </w:rPr>
      </w:pPr>
      <w:r>
        <w:rPr>
          <w:rFonts w:eastAsia="黑体" w:cs="仿宋;宋体" w:ascii="SimHei" w:hAnsi="SimHei"/>
          <w:sz w:val="28"/>
          <w:szCs w:val="28"/>
        </w:rPr>
        <w:t>2</w:t>
      </w:r>
      <w:r>
        <w:rPr>
          <w:rFonts w:ascii="SimHei" w:hAnsi="SimHei" w:cs="仿宋;宋体" w:eastAsia="黑体"/>
          <w:sz w:val="28"/>
          <w:szCs w:val="28"/>
        </w:rPr>
        <w:t>、合同审批流转单</w:t>
      </w:r>
    </w:p>
    <w:p>
      <w:pPr>
        <w:pStyle w:val="32"/>
        <w:ind w:start="780" w:firstLine="560"/>
        <w:rPr>
          <w:rFonts w:ascii="仿宋;宋体" w:hAnsi="仿宋;宋体" w:eastAsia="仿宋;宋体" w:cs="仿宋;宋体"/>
          <w:sz w:val="28"/>
          <w:szCs w:val="28"/>
        </w:rPr>
      </w:pPr>
      <w:r>
        <w:rPr>
          <w:rFonts w:eastAsia="黑体" w:cs="仿宋;宋体" w:ascii="SimHei" w:hAnsi="SimHei"/>
          <w:sz w:val="28"/>
          <w:szCs w:val="28"/>
        </w:rPr>
      </w:r>
    </w:p>
    <w:p>
      <w:pPr>
        <w:pStyle w:val="32"/>
        <w:ind w:end="560" w:firstLine="560"/>
        <w:jc w:val="end"/>
        <w:rPr/>
      </w:pPr>
      <w:r>
        <w:rPr>
          <w:rFonts w:eastAsia="黑体" w:cs="仿宋;宋体" w:ascii="SimHei" w:hAnsi="SimHei"/>
          <w:sz w:val="28"/>
          <w:szCs w:val="28"/>
        </w:rPr>
        <w:t>XX</w:t>
      </w:r>
      <w:r>
        <w:rPr>
          <w:rFonts w:ascii="SimHei" w:hAnsi="SimHei" w:cs="仿宋;宋体" w:eastAsia="黑体"/>
          <w:sz w:val="28"/>
          <w:szCs w:val="28"/>
        </w:rPr>
        <w:t>公司</w:t>
      </w:r>
    </w:p>
    <w:p>
      <w:pPr>
        <w:pStyle w:val="32"/>
        <w:ind w:end="960" w:firstLine="480"/>
        <w:jc w:val="center"/>
        <w:rPr>
          <w:rFonts w:ascii="仿宋;宋体" w:hAnsi="仿宋;宋体" w:eastAsia="仿宋;宋体" w:cs="仿宋;宋体"/>
        </w:rPr>
      </w:pPr>
      <w:r>
        <w:rPr>
          <w:rFonts w:eastAsia="黑体" w:cs="仿宋;宋体" w:ascii="SimHei" w:hAnsi="SimHei"/>
        </w:rPr>
        <w:t xml:space="preserve">                                         </w:t>
      </w:r>
      <w:r>
        <w:rPr>
          <w:rFonts w:ascii="SimHei" w:hAnsi="SimHei" w:cs="仿宋;宋体" w:eastAsia="黑体"/>
          <w:sz w:val="28"/>
          <w:szCs w:val="28"/>
        </w:rPr>
        <w:t>二〇一一年  月  日</w:t>
      </w:r>
      <w:bookmarkStart w:id="17" w:name="__RefHeading___Toc277935408"/>
    </w:p>
    <w:p>
      <w:pPr>
        <w:pStyle w:val="32"/>
        <w:ind w:end="960" w:firstLine="560"/>
        <w:jc w:val="center"/>
        <w:rPr>
          <w:rFonts w:ascii="黑体;SimHei" w:hAnsi="黑体;SimHei" w:eastAsia="黑体;SimHei" w:cs="黑体;SimHei"/>
          <w:sz w:val="28"/>
          <w:szCs w:val="28"/>
        </w:rPr>
      </w:pPr>
      <w:r>
        <w:rPr>
          <w:rFonts w:ascii="SimHei" w:hAnsi="SimHei" w:cs="黑体;SimHei" w:eastAsia="黑体"/>
          <w:sz w:val="28"/>
          <w:szCs w:val="28"/>
        </w:rPr>
        <w:t>附件</w:t>
      </w:r>
      <w:r>
        <w:rPr>
          <w:rFonts w:eastAsia="黑体" w:cs="黑体;SimHei" w:ascii="SimHei" w:hAnsi="SimHei"/>
          <w:sz w:val="28"/>
          <w:szCs w:val="28"/>
        </w:rPr>
        <w:t>1</w:t>
      </w:r>
      <w:r>
        <w:rPr>
          <w:rFonts w:ascii="SimHei" w:hAnsi="SimHei" w:cs="黑体;SimHei" w:eastAsia="黑体"/>
          <w:sz w:val="28"/>
          <w:szCs w:val="28"/>
        </w:rPr>
        <w:t>：合同审批流程图</w:t>
      </w:r>
      <w:bookmarkEnd w:id="17"/>
    </w:p>
    <w:p>
      <w:pPr>
        <w:pStyle w:val="32"/>
        <w:ind w:hanging="0"/>
        <w:jc w:val="end"/>
        <w:rPr>
          <w:sz w:val="28"/>
        </w:rPr>
      </w:pPr>
      <w:r>
        <w:rPr>
          <w:rFonts w:ascii="SimHei" w:hAnsi="SimHei" w:eastAsia="黑体"/>
        </w:rPr>
      </w:r>
    </w:p>
    <w:p>
      <w:pPr>
        <w:pStyle w:val="Normal"/>
        <w:rPr>
          <w:b/>
          <w:b/>
          <w:sz w:val="28"/>
        </w:rPr>
      </w:pPr>
      <w:r>
        <w:rPr>
          <w:rFonts w:ascii="SimHei" w:hAnsi="SimHei" w:eastAsia="黑体"/>
          <w:b/>
          <w:sz w:val="28"/>
        </w:rPr>
      </w:r>
    </w:p>
    <w:p>
      <w:pPr>
        <w:sectPr>
          <w:headerReference w:type="default" r:id="rId2"/>
          <w:footerReference w:type="default" r:id="rId3"/>
          <w:type w:val="nextPage"/>
          <w:pgSz w:w="11906" w:h="16838"/>
          <w:pgMar w:left="1247" w:right="1247" w:header="851" w:top="1247" w:footer="851" w:bottom="1247" w:gutter="0"/>
          <w:pgNumType w:start="1" w:fmt="decimal"/>
          <w:formProt w:val="false"/>
          <w:textDirection w:val="lrTb"/>
          <w:docGrid w:type="lines" w:linePitch="400" w:charSpace="0"/>
        </w:sectPr>
        <w:pStyle w:val="32"/>
        <w:ind w:hanging="0"/>
        <w:rPr>
          <w:b/>
          <w:b/>
          <w:bCs/>
        </w:rPr>
      </w:pPr>
      <w:r>
        <w:rPr>
          <w:rFonts w:ascii="SimHei" w:hAnsi="SimHei" w:eastAsia="黑体"/>
          <w:b/>
          <w:bCs/>
        </w:rPr>
      </w:r>
    </w:p>
    <w:p>
      <w:pPr>
        <w:pStyle w:val="Heading3"/>
        <w:rPr>
          <w:rFonts w:ascii="黑体;SimHei" w:hAnsi="黑体;SimHei" w:eastAsia="黑体;SimHei" w:cs="黑体;SimHei"/>
        </w:rPr>
      </w:pPr>
      <w:bookmarkStart w:id="18" w:name="__RefHeading___Toc277935409"/>
      <w:bookmarkEnd w:id="18"/>
      <w:r>
        <w:rPr>
          <w:rFonts w:ascii="SimHei" w:hAnsi="SimHei" w:cs="黑体;SimHei" w:eastAsia="黑体"/>
        </w:rPr>
        <w:t>附件</w:t>
      </w:r>
      <w:r>
        <w:rPr>
          <w:rFonts w:eastAsia="黑体" w:cs="黑体;SimHei" w:ascii="SimHei" w:hAnsi="SimHei"/>
        </w:rPr>
        <w:t>2</w:t>
      </w:r>
      <w:r>
        <w:rPr>
          <w:rFonts w:ascii="SimHei" w:hAnsi="SimHei" w:cs="黑体;SimHei" w:eastAsia="黑体"/>
        </w:rPr>
        <w:t>：合同审批流转单</w:t>
      </w:r>
    </w:p>
    <w:p>
      <w:pPr>
        <w:pStyle w:val="Normal"/>
        <w:spacing w:lineRule="auto" w:line="360"/>
        <w:jc w:val="center"/>
        <w:rPr/>
      </w:pPr>
      <w:r>
        <w:rPr>
          <w:rFonts w:eastAsia="黑体" w:ascii="SimHei" w:hAnsi="SimHei"/>
          <w:b/>
          <w:sz w:val="28"/>
          <w:szCs w:val="28"/>
        </w:rPr>
        <w:t>XX</w:t>
      </w:r>
      <w:r>
        <w:rPr>
          <w:rFonts w:ascii="SimHei" w:hAnsi="SimHei" w:eastAsia="黑体"/>
          <w:b/>
          <w:sz w:val="28"/>
          <w:szCs w:val="28"/>
        </w:rPr>
        <w:t>公司合同审批流转单</w:t>
      </w:r>
    </w:p>
    <w:p>
      <w:pPr>
        <w:pStyle w:val="Normal"/>
        <w:widowControl/>
        <w:rPr>
          <w:rFonts w:ascii="仿宋;宋体" w:hAnsi="仿宋;宋体" w:eastAsia="仿宋;宋体" w:cs="宋体;SimSun"/>
          <w:kern w:val="0"/>
          <w:sz w:val="24"/>
        </w:rPr>
      </w:pPr>
      <w:r>
        <w:rPr>
          <w:rFonts w:ascii="SimHei" w:hAnsi="SimHei" w:cs="宋体;SimSun" w:eastAsia="黑体"/>
          <w:kern w:val="0"/>
          <w:sz w:val="24"/>
        </w:rPr>
        <w:t>日    期：                                  合同编号：</w:t>
      </w:r>
    </w:p>
    <w:tbl>
      <w:tblPr>
        <w:tblW w:w="9328" w:type="dxa"/>
        <w:jc w:val="center"/>
        <w:tblInd w:w="0" w:type="dxa"/>
        <w:tblLayout w:type="fixed"/>
        <w:tblCellMar>
          <w:top w:w="0" w:type="dxa"/>
          <w:start w:w="108" w:type="dxa"/>
          <w:bottom w:w="0" w:type="dxa"/>
          <w:end w:w="108" w:type="dxa"/>
        </w:tblCellMar>
      </w:tblPr>
      <w:tblGrid>
        <w:gridCol w:w="1815"/>
        <w:gridCol w:w="2849"/>
        <w:gridCol w:w="1831"/>
        <w:gridCol w:w="2833"/>
      </w:tblGrid>
      <w:tr>
        <w:trPr>
          <w:trHeight w:val="452" w:hRule="atLeast"/>
        </w:trPr>
        <w:tc>
          <w:tcPr>
            <w:tcW w:w="1815" w:type="dxa"/>
            <w:tcBorders>
              <w:top w:val="single" w:sz="12" w:space="0" w:color="000000"/>
              <w:start w:val="single" w:sz="12"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部    门</w:t>
            </w:r>
          </w:p>
        </w:tc>
        <w:tc>
          <w:tcPr>
            <w:tcW w:w="2849" w:type="dxa"/>
            <w:tcBorders>
              <w:top w:val="single" w:sz="12"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宋体" w:hAnsi="仿宋;宋体" w:eastAsia="仿宋;宋体" w:cs="宋体;SimSun"/>
                <w:kern w:val="0"/>
                <w:sz w:val="24"/>
              </w:rPr>
            </w:pPr>
            <w:r>
              <w:rPr>
                <w:rFonts w:eastAsia="黑体" w:cs="宋体;SimSun" w:ascii="SimHei" w:hAnsi="SimHei"/>
                <w:kern w:val="0"/>
                <w:sz w:val="24"/>
              </w:rPr>
            </w:r>
          </w:p>
        </w:tc>
        <w:tc>
          <w:tcPr>
            <w:tcW w:w="1831" w:type="dxa"/>
            <w:tcBorders>
              <w:top w:val="single" w:sz="12" w:space="0" w:color="000000"/>
              <w:start w:val="single" w:sz="4"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经办人</w:t>
            </w:r>
          </w:p>
        </w:tc>
        <w:tc>
          <w:tcPr>
            <w:tcW w:w="2833" w:type="dxa"/>
            <w:tcBorders>
              <w:top w:val="single" w:sz="12" w:space="0" w:color="000000"/>
              <w:start w:val="single" w:sz="4" w:space="0" w:color="000000"/>
              <w:bottom w:val="single" w:sz="4" w:space="0" w:color="000000"/>
              <w:end w:val="single" w:sz="12" w:space="0" w:color="000000"/>
            </w:tcBorders>
            <w:vAlign w:val="center"/>
          </w:tcPr>
          <w:p>
            <w:pPr>
              <w:pStyle w:val="Normal"/>
              <w:widowControl/>
              <w:snapToGrid w:val="false"/>
              <w:jc w:val="center"/>
              <w:rPr>
                <w:rFonts w:ascii="仿宋;宋体" w:hAnsi="仿宋;宋体" w:eastAsia="仿宋;宋体" w:cs="宋体;SimSun"/>
                <w:kern w:val="0"/>
                <w:sz w:val="24"/>
              </w:rPr>
            </w:pPr>
            <w:r>
              <w:rPr>
                <w:rFonts w:eastAsia="黑体" w:cs="宋体;SimSun" w:ascii="SimHei" w:hAnsi="SimHei"/>
                <w:kern w:val="0"/>
                <w:sz w:val="24"/>
              </w:rPr>
            </w:r>
          </w:p>
        </w:tc>
      </w:tr>
      <w:tr>
        <w:trPr>
          <w:trHeight w:val="472" w:hRule="atLeast"/>
        </w:trPr>
        <w:tc>
          <w:tcPr>
            <w:tcW w:w="1815" w:type="dxa"/>
            <w:tcBorders>
              <w:top w:val="single" w:sz="4" w:space="0" w:color="000000"/>
              <w:start w:val="single" w:sz="12"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合同名称</w:t>
            </w:r>
          </w:p>
        </w:tc>
        <w:tc>
          <w:tcPr>
            <w:tcW w:w="2849"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仿宋;宋体" w:hAnsi="仿宋;宋体" w:eastAsia="仿宋;宋体" w:cs="宋体;SimSun"/>
                <w:kern w:val="0"/>
                <w:sz w:val="24"/>
              </w:rPr>
            </w:pPr>
            <w:r>
              <w:rPr>
                <w:rFonts w:eastAsia="黑体" w:cs="宋体;SimSun" w:ascii="SimHei" w:hAnsi="SimHei"/>
                <w:kern w:val="0"/>
                <w:sz w:val="24"/>
              </w:rPr>
            </w:r>
          </w:p>
        </w:tc>
        <w:tc>
          <w:tcPr>
            <w:tcW w:w="1831"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合同金额</w:t>
            </w:r>
          </w:p>
        </w:tc>
        <w:tc>
          <w:tcPr>
            <w:tcW w:w="2833" w:type="dxa"/>
            <w:tcBorders>
              <w:top w:val="single" w:sz="4" w:space="0" w:color="000000"/>
              <w:start w:val="single" w:sz="4" w:space="0" w:color="000000"/>
              <w:bottom w:val="single" w:sz="4" w:space="0" w:color="000000"/>
              <w:end w:val="single" w:sz="12" w:space="0" w:color="000000"/>
            </w:tcBorders>
            <w:vAlign w:val="center"/>
          </w:tcPr>
          <w:p>
            <w:pPr>
              <w:pStyle w:val="Normal"/>
              <w:widowControl/>
              <w:snapToGrid w:val="false"/>
              <w:jc w:val="center"/>
              <w:rPr>
                <w:rFonts w:ascii="仿宋;宋体" w:hAnsi="仿宋;宋体" w:eastAsia="仿宋;宋体" w:cs="宋体;SimSun"/>
                <w:kern w:val="0"/>
                <w:sz w:val="24"/>
              </w:rPr>
            </w:pPr>
            <w:r>
              <w:rPr>
                <w:rFonts w:eastAsia="黑体" w:cs="宋体;SimSun" w:ascii="SimHei" w:hAnsi="SimHei"/>
                <w:kern w:val="0"/>
                <w:sz w:val="24"/>
              </w:rPr>
            </w:r>
          </w:p>
        </w:tc>
      </w:tr>
      <w:tr>
        <w:trPr>
          <w:trHeight w:val="1196" w:hRule="atLeast"/>
        </w:trPr>
        <w:tc>
          <w:tcPr>
            <w:tcW w:w="1815" w:type="dxa"/>
            <w:tcBorders>
              <w:top w:val="single" w:sz="4" w:space="0" w:color="000000"/>
              <w:start w:val="single" w:sz="12"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合同主要内容</w:t>
            </w:r>
          </w:p>
        </w:tc>
        <w:tc>
          <w:tcPr>
            <w:tcW w:w="7513" w:type="dxa"/>
            <w:gridSpan w:val="3"/>
            <w:tcBorders>
              <w:top w:val="single" w:sz="4" w:space="0" w:color="000000"/>
              <w:start w:val="single" w:sz="4" w:space="0" w:color="000000"/>
              <w:bottom w:val="single" w:sz="4" w:space="0" w:color="000000"/>
              <w:end w:val="single" w:sz="12" w:space="0" w:color="000000"/>
            </w:tcBorders>
            <w:vAlign w:val="center"/>
          </w:tcPr>
          <w:p>
            <w:pPr>
              <w:pStyle w:val="Normal"/>
              <w:widowControl/>
              <w:snapToGrid w:val="false"/>
              <w:jc w:val="center"/>
              <w:rPr>
                <w:rFonts w:ascii="仿宋;宋体" w:hAnsi="仿宋;宋体" w:eastAsia="仿宋;宋体" w:cs="宋体;SimSun"/>
                <w:kern w:val="0"/>
                <w:sz w:val="24"/>
              </w:rPr>
            </w:pPr>
            <w:r>
              <w:rPr>
                <w:rFonts w:eastAsia="黑体" w:cs="宋体;SimSun" w:ascii="SimHei" w:hAnsi="SimHei"/>
                <w:kern w:val="0"/>
                <w:sz w:val="24"/>
              </w:rPr>
            </w:r>
          </w:p>
        </w:tc>
      </w:tr>
      <w:tr>
        <w:trPr>
          <w:trHeight w:val="942" w:hRule="atLeast"/>
        </w:trPr>
        <w:tc>
          <w:tcPr>
            <w:tcW w:w="1815" w:type="dxa"/>
            <w:tcBorders>
              <w:top w:val="single" w:sz="4" w:space="0" w:color="000000"/>
              <w:start w:val="single" w:sz="12"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合同主要附件</w:t>
            </w:r>
          </w:p>
        </w:tc>
        <w:tc>
          <w:tcPr>
            <w:tcW w:w="7513" w:type="dxa"/>
            <w:gridSpan w:val="3"/>
            <w:tcBorders>
              <w:top w:val="single" w:sz="4" w:space="0" w:color="000000"/>
              <w:start w:val="single" w:sz="4" w:space="0" w:color="000000"/>
              <w:bottom w:val="single" w:sz="4" w:space="0" w:color="000000"/>
              <w:end w:val="single" w:sz="12" w:space="0" w:color="000000"/>
            </w:tcBorders>
            <w:vAlign w:val="center"/>
          </w:tcPr>
          <w:p>
            <w:pPr>
              <w:pStyle w:val="Normal"/>
              <w:widowControl/>
              <w:snapToGrid w:val="false"/>
              <w:rPr>
                <w:rFonts w:ascii="仿宋;宋体" w:hAnsi="仿宋;宋体" w:eastAsia="仿宋;宋体" w:cs="宋体;SimSun"/>
                <w:kern w:val="0"/>
                <w:sz w:val="24"/>
              </w:rPr>
            </w:pPr>
            <w:r>
              <w:rPr>
                <w:rFonts w:eastAsia="黑体" w:cs="宋体;SimSun" w:ascii="SimHei" w:hAnsi="SimHei"/>
                <w:kern w:val="0"/>
                <w:sz w:val="24"/>
              </w:rPr>
            </w:r>
          </w:p>
        </w:tc>
      </w:tr>
      <w:tr>
        <w:trPr>
          <w:trHeight w:val="1295" w:hRule="atLeast"/>
        </w:trPr>
        <w:tc>
          <w:tcPr>
            <w:tcW w:w="1815" w:type="dxa"/>
            <w:tcBorders>
              <w:top w:val="single" w:sz="4" w:space="0" w:color="000000"/>
              <w:start w:val="single" w:sz="12"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分管总经理审核</w:t>
            </w:r>
          </w:p>
        </w:tc>
        <w:tc>
          <w:tcPr>
            <w:tcW w:w="7513" w:type="dxa"/>
            <w:gridSpan w:val="3"/>
            <w:tcBorders>
              <w:top w:val="single" w:sz="4" w:space="0" w:color="000000"/>
              <w:start w:val="single" w:sz="4" w:space="0" w:color="000000"/>
              <w:bottom w:val="single" w:sz="6" w:space="0" w:color="000000"/>
              <w:end w:val="single" w:sz="12" w:space="0" w:color="000000"/>
            </w:tcBorders>
            <w:vAlign w:val="center"/>
          </w:tcPr>
          <w:p>
            <w:pPr>
              <w:pStyle w:val="Normal"/>
              <w:widowControl/>
              <w:snapToGrid w:val="false"/>
              <w:rPr>
                <w:rFonts w:ascii="仿宋;宋体" w:hAnsi="仿宋;宋体" w:eastAsia="仿宋;宋体" w:cs="宋体;SimSun"/>
                <w:kern w:val="0"/>
                <w:sz w:val="24"/>
              </w:rPr>
            </w:pPr>
            <w:r>
              <w:rPr>
                <w:rFonts w:eastAsia="黑体" w:cs="宋体;SimSun" w:ascii="SimHei" w:hAnsi="SimHei"/>
                <w:kern w:val="0"/>
                <w:sz w:val="24"/>
              </w:rPr>
            </w:r>
          </w:p>
          <w:p>
            <w:pPr>
              <w:pStyle w:val="Normal"/>
              <w:widowControl/>
              <w:rPr>
                <w:rFonts w:cs="宋体;SimSun"/>
              </w:rPr>
            </w:pPr>
            <w:r>
              <w:rPr>
                <w:rFonts w:eastAsia="黑体" w:cs="仿宋;宋体" w:ascii="SimHei" w:hAnsi="SimHei"/>
                <w:kern w:val="0"/>
                <w:sz w:val="24"/>
              </w:rPr>
              <w:t xml:space="preserve">                               </w:t>
            </w:r>
          </w:p>
          <w:p>
            <w:pPr>
              <w:pStyle w:val="Normal"/>
              <w:widowControl/>
              <w:jc w:val="center"/>
              <w:rPr>
                <w:rFonts w:ascii="仿宋;宋体" w:hAnsi="仿宋;宋体" w:eastAsia="仿宋;宋体"/>
                <w:kern w:val="0"/>
                <w:sz w:val="24"/>
              </w:rPr>
            </w:pPr>
            <w:r>
              <w:rPr>
                <w:rFonts w:eastAsia="黑体" w:cs="仿宋;宋体" w:ascii="SimHei" w:hAnsi="SimHei"/>
                <w:kern w:val="0"/>
                <w:sz w:val="24"/>
              </w:rPr>
              <w:t xml:space="preserve">                         </w:t>
            </w:r>
            <w:r>
              <w:rPr>
                <w:rFonts w:ascii="SimHei" w:hAnsi="SimHei" w:cs="宋体;SimSun" w:eastAsia="黑体"/>
                <w:kern w:val="0"/>
                <w:sz w:val="24"/>
              </w:rPr>
              <w:t>签字：          日期：</w:t>
            </w:r>
          </w:p>
        </w:tc>
      </w:tr>
      <w:tr>
        <w:trPr>
          <w:trHeight w:val="1373" w:hRule="atLeast"/>
        </w:trPr>
        <w:tc>
          <w:tcPr>
            <w:tcW w:w="1815" w:type="dxa"/>
            <w:tcBorders>
              <w:top w:val="single" w:sz="4" w:space="0" w:color="000000"/>
              <w:start w:val="single" w:sz="12"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法务人员审核</w:t>
            </w:r>
          </w:p>
        </w:tc>
        <w:tc>
          <w:tcPr>
            <w:tcW w:w="7513" w:type="dxa"/>
            <w:gridSpan w:val="3"/>
            <w:tcBorders>
              <w:top w:val="single" w:sz="4" w:space="0" w:color="000000"/>
              <w:start w:val="single" w:sz="4" w:space="0" w:color="000000"/>
              <w:bottom w:val="single" w:sz="4" w:space="0" w:color="000000"/>
              <w:end w:val="single" w:sz="12" w:space="0" w:color="000000"/>
            </w:tcBorders>
            <w:vAlign w:val="center"/>
          </w:tcPr>
          <w:p>
            <w:pPr>
              <w:pStyle w:val="Normal"/>
              <w:widowControl/>
              <w:rPr>
                <w:rFonts w:cs="宋体;SimSun"/>
              </w:rPr>
            </w:pPr>
            <w:r>
              <w:rPr>
                <w:rFonts w:eastAsia="黑体" w:cs="仿宋;宋体" w:ascii="SimHei" w:hAnsi="SimHei"/>
                <w:kern w:val="0"/>
                <w:sz w:val="24"/>
              </w:rPr>
              <w:t xml:space="preserve">                            </w:t>
            </w:r>
          </w:p>
          <w:p>
            <w:pPr>
              <w:pStyle w:val="Normal"/>
              <w:widowControl/>
              <w:rPr>
                <w:rFonts w:ascii="仿宋;宋体" w:hAnsi="仿宋;宋体" w:eastAsia="仿宋;宋体" w:cs="宋体;SimSun"/>
                <w:kern w:val="0"/>
                <w:sz w:val="24"/>
              </w:rPr>
            </w:pPr>
            <w:r>
              <w:rPr>
                <w:rFonts w:eastAsia="黑体" w:cs="宋体;SimSun" w:ascii="SimHei" w:hAnsi="SimHei"/>
                <w:kern w:val="0"/>
                <w:sz w:val="24"/>
              </w:rPr>
            </w:r>
          </w:p>
          <w:p>
            <w:pPr>
              <w:pStyle w:val="Normal"/>
              <w:widowControl/>
              <w:jc w:val="center"/>
              <w:rPr>
                <w:rFonts w:ascii="仿宋;宋体" w:hAnsi="仿宋;宋体" w:eastAsia="仿宋;宋体"/>
                <w:kern w:val="0"/>
                <w:sz w:val="24"/>
              </w:rPr>
            </w:pPr>
            <w:r>
              <w:rPr>
                <w:rFonts w:eastAsia="黑体" w:cs="仿宋;宋体" w:ascii="SimHei" w:hAnsi="SimHei"/>
                <w:kern w:val="0"/>
                <w:sz w:val="24"/>
              </w:rPr>
              <w:t xml:space="preserve">                           </w:t>
            </w:r>
            <w:r>
              <w:rPr>
                <w:rFonts w:ascii="SimHei" w:hAnsi="SimHei" w:cs="宋体;SimSun" w:eastAsia="黑体"/>
                <w:kern w:val="0"/>
                <w:sz w:val="24"/>
              </w:rPr>
              <w:t>签字：          日期：</w:t>
            </w:r>
          </w:p>
        </w:tc>
      </w:tr>
      <w:tr>
        <w:trPr>
          <w:trHeight w:val="1379" w:hRule="atLeast"/>
        </w:trPr>
        <w:tc>
          <w:tcPr>
            <w:tcW w:w="1815" w:type="dxa"/>
            <w:tcBorders>
              <w:top w:val="single" w:sz="4" w:space="0" w:color="000000"/>
              <w:start w:val="single" w:sz="12"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财务部审核</w:t>
            </w:r>
          </w:p>
        </w:tc>
        <w:tc>
          <w:tcPr>
            <w:tcW w:w="7513" w:type="dxa"/>
            <w:gridSpan w:val="3"/>
            <w:tcBorders>
              <w:top w:val="single" w:sz="4" w:space="0" w:color="000000"/>
              <w:start w:val="single" w:sz="4" w:space="0" w:color="000000"/>
              <w:bottom w:val="single" w:sz="4" w:space="0" w:color="000000"/>
              <w:end w:val="single" w:sz="12" w:space="0" w:color="000000"/>
            </w:tcBorders>
            <w:vAlign w:val="center"/>
          </w:tcPr>
          <w:p>
            <w:pPr>
              <w:pStyle w:val="Normal"/>
              <w:widowControl/>
              <w:jc w:val="center"/>
              <w:rPr>
                <w:rFonts w:cs="宋体;SimSun"/>
              </w:rPr>
            </w:pPr>
            <w:r>
              <w:rPr>
                <w:rFonts w:eastAsia="黑体" w:cs="仿宋;宋体" w:ascii="SimHei" w:hAnsi="SimHei"/>
                <w:kern w:val="0"/>
                <w:sz w:val="24"/>
              </w:rPr>
              <w:t xml:space="preserve">                              </w:t>
            </w:r>
          </w:p>
          <w:p>
            <w:pPr>
              <w:pStyle w:val="Normal"/>
              <w:widowControl/>
              <w:rPr>
                <w:rFonts w:ascii="仿宋;宋体" w:hAnsi="仿宋;宋体" w:eastAsia="仿宋;宋体" w:cs="宋体;SimSun"/>
                <w:kern w:val="0"/>
                <w:sz w:val="24"/>
              </w:rPr>
            </w:pPr>
            <w:r>
              <w:rPr>
                <w:rFonts w:eastAsia="黑体" w:cs="宋体;SimSun" w:ascii="SimHei" w:hAnsi="SimHei"/>
                <w:kern w:val="0"/>
                <w:sz w:val="24"/>
              </w:rPr>
            </w:r>
          </w:p>
          <w:p>
            <w:pPr>
              <w:pStyle w:val="Normal"/>
              <w:widowControl/>
              <w:jc w:val="center"/>
              <w:rPr>
                <w:rFonts w:ascii="仿宋;宋体" w:hAnsi="仿宋;宋体" w:eastAsia="仿宋;宋体"/>
                <w:kern w:val="0"/>
                <w:sz w:val="24"/>
              </w:rPr>
            </w:pPr>
            <w:r>
              <w:rPr>
                <w:rFonts w:eastAsia="黑体" w:cs="仿宋;宋体" w:ascii="SimHei" w:hAnsi="SimHei"/>
                <w:kern w:val="0"/>
                <w:sz w:val="24"/>
              </w:rPr>
              <w:t xml:space="preserve">                           </w:t>
            </w:r>
            <w:r>
              <w:rPr>
                <w:rFonts w:ascii="SimHei" w:hAnsi="SimHei" w:cs="宋体;SimSun" w:eastAsia="黑体"/>
                <w:kern w:val="0"/>
                <w:sz w:val="24"/>
              </w:rPr>
              <w:t>签字：          日期：</w:t>
            </w:r>
          </w:p>
        </w:tc>
      </w:tr>
      <w:tr>
        <w:trPr>
          <w:trHeight w:val="1406" w:hRule="atLeast"/>
        </w:trPr>
        <w:tc>
          <w:tcPr>
            <w:tcW w:w="1815" w:type="dxa"/>
            <w:tcBorders>
              <w:top w:val="single" w:sz="4" w:space="0" w:color="000000"/>
              <w:start w:val="single" w:sz="12" w:space="0" w:color="000000"/>
              <w:bottom w:val="single" w:sz="4"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公司总裁审批</w:t>
            </w:r>
          </w:p>
        </w:tc>
        <w:tc>
          <w:tcPr>
            <w:tcW w:w="7513" w:type="dxa"/>
            <w:gridSpan w:val="3"/>
            <w:tcBorders>
              <w:top w:val="single" w:sz="4" w:space="0" w:color="000000"/>
              <w:start w:val="single" w:sz="4" w:space="0" w:color="000000"/>
              <w:bottom w:val="single" w:sz="4" w:space="0" w:color="000000"/>
              <w:end w:val="single" w:sz="12" w:space="0" w:color="000000"/>
            </w:tcBorders>
            <w:vAlign w:val="center"/>
          </w:tcPr>
          <w:p>
            <w:pPr>
              <w:pStyle w:val="Normal"/>
              <w:widowControl/>
              <w:snapToGrid w:val="false"/>
              <w:rPr>
                <w:rFonts w:ascii="仿宋;宋体" w:hAnsi="仿宋;宋体" w:eastAsia="仿宋;宋体" w:cs="宋体;SimSun"/>
                <w:kern w:val="0"/>
                <w:sz w:val="24"/>
              </w:rPr>
            </w:pPr>
            <w:r>
              <w:rPr>
                <w:rFonts w:eastAsia="黑体" w:cs="宋体;SimSun" w:ascii="SimHei" w:hAnsi="SimHei"/>
                <w:kern w:val="0"/>
                <w:sz w:val="24"/>
              </w:rPr>
            </w:r>
          </w:p>
          <w:p>
            <w:pPr>
              <w:pStyle w:val="Normal"/>
              <w:widowControl/>
              <w:jc w:val="center"/>
              <w:rPr>
                <w:rFonts w:cs="宋体;SimSun"/>
              </w:rPr>
            </w:pPr>
            <w:r>
              <w:rPr>
                <w:rFonts w:eastAsia="黑体" w:cs="仿宋;宋体" w:ascii="SimHei" w:hAnsi="SimHei"/>
                <w:kern w:val="0"/>
                <w:sz w:val="24"/>
              </w:rPr>
              <w:t xml:space="preserve">                              </w:t>
            </w:r>
          </w:p>
          <w:p>
            <w:pPr>
              <w:pStyle w:val="Normal"/>
              <w:widowControl/>
              <w:jc w:val="center"/>
              <w:rPr>
                <w:rFonts w:ascii="仿宋;宋体" w:hAnsi="仿宋;宋体" w:eastAsia="仿宋;宋体"/>
                <w:kern w:val="0"/>
                <w:sz w:val="24"/>
              </w:rPr>
            </w:pPr>
            <w:r>
              <w:rPr>
                <w:rFonts w:eastAsia="黑体" w:cs="仿宋;宋体" w:ascii="SimHei" w:hAnsi="SimHei"/>
                <w:kern w:val="0"/>
                <w:sz w:val="24"/>
              </w:rPr>
              <w:t xml:space="preserve">                           </w:t>
            </w:r>
            <w:r>
              <w:rPr>
                <w:rFonts w:ascii="SimHei" w:hAnsi="SimHei" w:cs="宋体;SimSun" w:eastAsia="黑体"/>
                <w:kern w:val="0"/>
                <w:sz w:val="24"/>
              </w:rPr>
              <w:t>签字：          日期：</w:t>
            </w:r>
          </w:p>
        </w:tc>
      </w:tr>
      <w:tr>
        <w:trPr>
          <w:trHeight w:val="1402" w:hRule="atLeast"/>
        </w:trPr>
        <w:tc>
          <w:tcPr>
            <w:tcW w:w="1815" w:type="dxa"/>
            <w:tcBorders>
              <w:top w:val="single" w:sz="4" w:space="0" w:color="000000"/>
              <w:start w:val="single" w:sz="12" w:space="0" w:color="000000"/>
              <w:bottom w:val="single" w:sz="12" w:space="0" w:color="000000"/>
              <w:end w:val="single" w:sz="4" w:space="0" w:color="000000"/>
            </w:tcBorders>
            <w:vAlign w:val="center"/>
          </w:tcPr>
          <w:p>
            <w:pPr>
              <w:pStyle w:val="Normal"/>
              <w:widowControl/>
              <w:jc w:val="center"/>
              <w:rPr>
                <w:rFonts w:ascii="仿宋;宋体" w:hAnsi="仿宋;宋体" w:eastAsia="仿宋;宋体" w:cs="宋体;SimSun"/>
                <w:kern w:val="0"/>
                <w:sz w:val="24"/>
              </w:rPr>
            </w:pPr>
            <w:r>
              <w:rPr>
                <w:rFonts w:ascii="SimHei" w:hAnsi="SimHei" w:cs="宋体;SimSun" w:eastAsia="黑体"/>
                <w:kern w:val="0"/>
                <w:sz w:val="24"/>
              </w:rPr>
              <w:t>备    注</w:t>
            </w:r>
          </w:p>
        </w:tc>
        <w:tc>
          <w:tcPr>
            <w:tcW w:w="7513" w:type="dxa"/>
            <w:gridSpan w:val="3"/>
            <w:tcBorders>
              <w:top w:val="single" w:sz="4" w:space="0" w:color="000000"/>
              <w:start w:val="single" w:sz="4" w:space="0" w:color="000000"/>
              <w:bottom w:val="single" w:sz="12" w:space="0" w:color="000000"/>
              <w:end w:val="single" w:sz="12" w:space="0" w:color="000000"/>
            </w:tcBorders>
            <w:vAlign w:val="center"/>
          </w:tcPr>
          <w:p>
            <w:pPr>
              <w:pStyle w:val="Normal"/>
              <w:widowControl/>
              <w:snapToGrid w:val="false"/>
              <w:rPr>
                <w:rFonts w:ascii="仿宋;宋体" w:hAnsi="仿宋;宋体" w:eastAsia="仿宋;宋体" w:cs="宋体;SimSun"/>
                <w:kern w:val="0"/>
                <w:sz w:val="24"/>
              </w:rPr>
            </w:pPr>
            <w:r>
              <w:rPr>
                <w:rFonts w:eastAsia="黑体" w:cs="宋体;SimSun" w:ascii="SimHei" w:hAnsi="SimHei"/>
                <w:kern w:val="0"/>
                <w:sz w:val="24"/>
              </w:rPr>
            </w:r>
          </w:p>
        </w:tc>
      </w:tr>
    </w:tbl>
    <w:p>
      <w:pPr>
        <w:pStyle w:val="Normal"/>
        <w:spacing w:lineRule="auto" w:line="360"/>
        <w:ind w:firstLine="1890"/>
        <w:rPr/>
      </w:pPr>
      <w:r>
        <w:rPr>
          <w:rFonts w:ascii="SimHei" w:hAnsi="SimHei" w:eastAsia="黑体"/>
        </w:rPr>
      </w:r>
    </w:p>
    <w:sectPr>
      <w:headerReference w:type="default" r:id="rId4"/>
      <w:footerReference w:type="default" r:id="rId5"/>
      <w:type w:val="nextPage"/>
      <w:pgSz w:w="11906" w:h="16838"/>
      <w:pgMar w:left="1247" w:right="1247" w:header="851" w:top="1247" w:footer="851" w:bottom="1247" w:gutter="0"/>
      <w:pgNumType w:start="1" w:fmt="decimal"/>
      <w:formProt w:val="false"/>
      <w:textDirection w:val="lrTb"/>
      <w:docGrid w:type="lines" w:linePitch="4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楷体_GB2312">
    <w:charset w:val="86"/>
    <w:family w:val="modern"/>
    <w:pitch w:val="default"/>
  </w:font>
  <w:font w:name="宋体">
    <w:altName w:val="SimSun"/>
    <w:charset w:val="86"/>
    <w:family w:val="auto"/>
    <w:pitch w:val="variable"/>
  </w:font>
  <w:font w:name="Liberation Sans">
    <w:altName w:val="Arial"/>
    <w:charset w:val="01" w:characterSet="utf-8"/>
    <w:family w:val="swiss"/>
    <w:pitch w:val="variable"/>
  </w:font>
  <w:font w:name="黑体">
    <w:altName w:val="SimHei"/>
    <w:charset w:val="86"/>
    <w:family w:val="auto"/>
    <w:pitch w:val="variable"/>
  </w:font>
  <w:font w:name="仿宋">
    <w:altName w:val="宋体"/>
    <w:charset w:val="86"/>
    <w:family w:val="modern"/>
    <w:pitch w:val="default"/>
  </w:font>
  <w:font w:name="PMingLiU">
    <w:altName w:val="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rFonts w:ascii="宋体;SimSun" w:hAnsi="宋体;SimSun" w:cs="宋体;SimSun"/>
        <w:kern w:val="0"/>
        <w:szCs w:val="21"/>
      </w:rPr>
      <w:t xml:space="preserve">第 </w:t>
    </w:r>
    <w:r>
      <w:rPr>
        <w:rFonts w:ascii="宋体;SimSun" w:hAnsi="宋体;SimSun" w:cs="宋体;SimSun"/>
        <w:kern w:val="0"/>
        <w:szCs w:val="21"/>
      </w:rPr>
      <w:fldChar w:fldCharType="begin"/>
    </w:r>
    <w:r>
      <w:rPr>
        <w:kern w:val="0"/>
        <w:szCs w:val="21"/>
        <w:rFonts w:ascii="宋体;SimSun" w:hAnsi="宋体;SimSun" w:cs="宋体;SimSun"/>
      </w:rPr>
      <w:instrText> PAGE </w:instrText>
    </w:r>
    <w:r>
      <w:rPr>
        <w:kern w:val="0"/>
        <w:szCs w:val="21"/>
        <w:rFonts w:ascii="宋体;SimSun" w:hAnsi="宋体;SimSun" w:cs="宋体;SimSun"/>
      </w:rPr>
      <w:fldChar w:fldCharType="separate"/>
    </w:r>
    <w:r>
      <w:rPr>
        <w:kern w:val="0"/>
        <w:szCs w:val="21"/>
        <w:rFonts w:ascii="宋体;SimSun" w:hAnsi="宋体;SimSun" w:cs="宋体;SimSun"/>
      </w:rPr>
      <w:t>12</w:t>
    </w:r>
    <w:r>
      <w:rPr>
        <w:kern w:val="0"/>
        <w:szCs w:val="21"/>
        <w:rFonts w:ascii="宋体;SimSun" w:hAnsi="宋体;SimSun" w:cs="宋体;SimSun"/>
      </w:rPr>
      <w:fldChar w:fldCharType="end"/>
    </w:r>
    <w:r>
      <w:rPr>
        <w:rFonts w:ascii="宋体;SimSun" w:hAnsi="宋体;SimSun" w:cs="宋体;SimSun"/>
        <w:kern w:val="0"/>
        <w:szCs w:val="21"/>
      </w:rPr>
      <w:t xml:space="preserve"> 页 共 </w:t>
    </w:r>
    <w:r>
      <w:rPr>
        <w:rFonts w:ascii="宋体;SimSun" w:hAnsi="宋体;SimSun" w:cs="宋体;SimSun"/>
        <w:kern w:val="0"/>
        <w:szCs w:val="21"/>
      </w:rPr>
      <w:fldChar w:fldCharType="begin"/>
    </w:r>
    <w:r>
      <w:rPr>
        <w:kern w:val="0"/>
        <w:szCs w:val="21"/>
        <w:rFonts w:ascii="宋体;SimSun" w:hAnsi="宋体;SimSun" w:cs="宋体;SimSun"/>
      </w:rPr>
      <w:instrText> NUMPAGES \* ARABIC </w:instrText>
    </w:r>
    <w:r>
      <w:rPr>
        <w:kern w:val="0"/>
        <w:szCs w:val="21"/>
        <w:rFonts w:ascii="宋体;SimSun" w:hAnsi="宋体;SimSun" w:cs="宋体;SimSun"/>
      </w:rPr>
      <w:fldChar w:fldCharType="separate"/>
    </w:r>
    <w:r>
      <w:rPr>
        <w:kern w:val="0"/>
        <w:szCs w:val="21"/>
        <w:rFonts w:ascii="宋体;SimSun" w:hAnsi="宋体;SimSun" w:cs="宋体;SimSun"/>
      </w:rPr>
      <w:t>13</w:t>
    </w:r>
    <w:r>
      <w:rPr>
        <w:kern w:val="0"/>
        <w:szCs w:val="21"/>
        <w:rFonts w:ascii="宋体;SimSun" w:hAnsi="宋体;SimSun" w:cs="宋体;SimSun"/>
      </w:rPr>
      <w:fldChar w:fldCharType="end"/>
    </w:r>
    <w:r>
      <w:rPr>
        <w:rFonts w:ascii="宋体;SimSun" w:hAnsi="宋体;SimSun" w:cs="宋体;SimSun"/>
        <w:kern w:val="0"/>
        <w:szCs w:val="21"/>
      </w:rPr>
      <w:t xml:space="preserve"> 页</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rFonts w:ascii="宋体;SimSun" w:hAnsi="宋体;SimSun" w:cs="宋体;SimSun"/>
        <w:kern w:val="0"/>
        <w:szCs w:val="21"/>
      </w:rPr>
      <w:t xml:space="preserve">第 </w:t>
    </w:r>
    <w:r>
      <w:rPr>
        <w:rFonts w:ascii="宋体;SimSun" w:hAnsi="宋体;SimSun" w:cs="宋体;SimSun"/>
        <w:kern w:val="0"/>
        <w:szCs w:val="21"/>
      </w:rPr>
      <w:fldChar w:fldCharType="begin"/>
    </w:r>
    <w:r>
      <w:rPr>
        <w:kern w:val="0"/>
        <w:szCs w:val="21"/>
        <w:rFonts w:ascii="宋体;SimSun" w:hAnsi="宋体;SimSun" w:cs="宋体;SimSun"/>
      </w:rPr>
      <w:instrText> PAGE </w:instrText>
    </w:r>
    <w:r>
      <w:rPr>
        <w:kern w:val="0"/>
        <w:szCs w:val="21"/>
        <w:rFonts w:ascii="宋体;SimSun" w:hAnsi="宋体;SimSun" w:cs="宋体;SimSun"/>
      </w:rPr>
      <w:fldChar w:fldCharType="separate"/>
    </w:r>
    <w:r>
      <w:rPr>
        <w:kern w:val="0"/>
        <w:szCs w:val="21"/>
        <w:rFonts w:ascii="宋体;SimSun" w:hAnsi="宋体;SimSun" w:cs="宋体;SimSun"/>
      </w:rPr>
      <w:t>1</w:t>
    </w:r>
    <w:r>
      <w:rPr>
        <w:kern w:val="0"/>
        <w:szCs w:val="21"/>
        <w:rFonts w:ascii="宋体;SimSun" w:hAnsi="宋体;SimSun" w:cs="宋体;SimSun"/>
      </w:rPr>
      <w:fldChar w:fldCharType="end"/>
    </w:r>
    <w:r>
      <w:rPr>
        <w:rFonts w:ascii="宋体;SimSun" w:hAnsi="宋体;SimSun" w:cs="宋体;SimSun"/>
        <w:kern w:val="0"/>
        <w:szCs w:val="21"/>
      </w:rPr>
      <w:t xml:space="preserve"> 页 共 </w:t>
    </w:r>
    <w:r>
      <w:rPr>
        <w:rFonts w:ascii="宋体;SimSun" w:hAnsi="宋体;SimSun" w:cs="宋体;SimSun"/>
        <w:kern w:val="0"/>
        <w:szCs w:val="21"/>
      </w:rPr>
      <w:fldChar w:fldCharType="begin"/>
    </w:r>
    <w:r>
      <w:rPr>
        <w:kern w:val="0"/>
        <w:szCs w:val="21"/>
        <w:rFonts w:ascii="宋体;SimSun" w:hAnsi="宋体;SimSun" w:cs="宋体;SimSun"/>
      </w:rPr>
      <w:instrText> NUMPAGES \* ARABIC </w:instrText>
    </w:r>
    <w:r>
      <w:rPr>
        <w:kern w:val="0"/>
        <w:szCs w:val="21"/>
        <w:rFonts w:ascii="宋体;SimSun" w:hAnsi="宋体;SimSun" w:cs="宋体;SimSun"/>
      </w:rPr>
      <w:fldChar w:fldCharType="separate"/>
    </w:r>
    <w:r>
      <w:rPr>
        <w:kern w:val="0"/>
        <w:szCs w:val="21"/>
        <w:rFonts w:ascii="宋体;SimSun" w:hAnsi="宋体;SimSun" w:cs="宋体;SimSun"/>
      </w:rPr>
      <w:t>13</w:t>
    </w:r>
    <w:r>
      <w:rPr>
        <w:kern w:val="0"/>
        <w:szCs w:val="21"/>
        <w:rFonts w:ascii="宋体;SimSun" w:hAnsi="宋体;SimSun" w:cs="宋体;SimSun"/>
      </w:rPr>
      <w:fldChar w:fldCharType="end"/>
    </w:r>
    <w:r>
      <w:rPr>
        <w:rFonts w:ascii="宋体;SimSun" w:hAnsi="宋体;SimSun" w:cs="宋体;SimSun"/>
        <w:kern w:val="0"/>
        <w:szCs w:val="21"/>
      </w:rPr>
      <w:t xml:space="preserve"> 页</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0"/>
      </w:pBdr>
      <w:rPr/>
    </w:pPr>
    <w:r>
      <w:rPr>
        <w:rFonts w:cs="宋体;SimSun" w:ascii="宋体;SimSun" w:hAnsi="宋体;SimSun"/>
      </w:rPr>
      <w:t xml:space="preserve">                                </w:t>
    </w:r>
    <w:r>
      <w:rPr>
        <w:rFonts w:eastAsia="PMingLiU;新細明體" w:cs="PMingLiU;新細明體" w:ascii="PMingLiU;新細明體" w:hAnsi="PMingLiU;新細明體"/>
      </w:rPr>
      <w:t xml:space="preserve"> </w:t>
    </w:r>
    <w:r>
      <w:rPr>
        <w:rFonts w:ascii="PMingLiU;新細明體" w:hAnsi="PMingLiU;新細明體" w:cs="PMingLiU;新細明體" w:eastAsia="PMingLiU;新細明體"/>
      </w:rPr>
      <w:t>合同管理制度－行政人事部</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1"/>
      </w:numPr>
      <w:spacing w:lineRule="atLeast" w:line="480"/>
      <w:jc w:val="center"/>
      <w:outlineLvl w:val="0"/>
    </w:pPr>
    <w:rPr>
      <w:rFonts w:ascii="楷体_GB2312" w:hAnsi="楷体_GB2312" w:eastAsia="楷体_GB2312" w:cs="宋体;SimSun"/>
      <w:sz w:val="28"/>
    </w:rPr>
  </w:style>
  <w:style w:type="paragraph" w:styleId="Heading2">
    <w:name w:val="Heading 2"/>
    <w:basedOn w:val="Normal"/>
    <w:next w:val="Normal"/>
    <w:qFormat/>
    <w:pPr>
      <w:keepNext w:val="true"/>
      <w:numPr>
        <w:ilvl w:val="1"/>
        <w:numId w:val="1"/>
      </w:numPr>
      <w:spacing w:lineRule="auto" w:line="360" w:before="156" w:after="156"/>
      <w:jc w:val="center"/>
      <w:outlineLvl w:val="1"/>
    </w:pPr>
    <w:rPr>
      <w:rFonts w:ascii="宋体;SimSun" w:hAnsi="宋体;SimSun" w:cs="宋体;SimSun"/>
      <w:b/>
      <w:bCs/>
      <w:sz w:val="28"/>
    </w:rPr>
  </w:style>
  <w:style w:type="paragraph" w:styleId="Heading3">
    <w:name w:val="Heading 3"/>
    <w:basedOn w:val="Normal"/>
    <w:next w:val="Normal"/>
    <w:qFormat/>
    <w:pPr>
      <w:keepNext w:val="true"/>
      <w:keepLines/>
      <w:numPr>
        <w:ilvl w:val="2"/>
        <w:numId w:val="1"/>
      </w:numPr>
      <w:spacing w:lineRule="auto" w:line="360" w:before="120" w:after="120"/>
      <w:outlineLvl w:val="2"/>
    </w:pPr>
    <w:rPr>
      <w:b/>
      <w:bCs/>
      <w:sz w:val="28"/>
      <w:szCs w:val="32"/>
    </w:rPr>
  </w:style>
  <w:style w:type="character" w:styleId="Style11">
    <w:name w:val="默认段落字体"/>
    <w:qFormat/>
    <w:rPr/>
  </w:style>
  <w:style w:type="character" w:styleId="PageNumber">
    <w:name w:val="Page Number"/>
    <w:basedOn w:val="Style11"/>
    <w:rPr/>
  </w:style>
  <w:style w:type="character" w:styleId="StrongEmphasis">
    <w:name w:val="Strong Emphasis"/>
    <w:basedOn w:val="Style11"/>
    <w:qFormat/>
    <w:rPr>
      <w:b/>
      <w:bCs/>
    </w:rPr>
  </w:style>
  <w:style w:type="character" w:styleId="InternetLink">
    <w:name w:val="Hyperlink"/>
    <w:basedOn w:val="Style11"/>
    <w:rPr>
      <w:color w:val="0000FF"/>
      <w:u w:val="single"/>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3">
    <w:name w:val="正文文本缩进 3"/>
    <w:basedOn w:val="Normal"/>
    <w:qFormat/>
    <w:pPr>
      <w:spacing w:before="0" w:after="120"/>
      <w:ind w:start="420" w:hanging="0"/>
    </w:pPr>
    <w:rPr>
      <w:sz w:val="16"/>
      <w:szCs w:val="16"/>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2">
    <w:name w:val="文档结构图"/>
    <w:basedOn w:val="Normal"/>
    <w:qFormat/>
    <w:pPr>
      <w:shd w:fill="000080" w:val="clear"/>
    </w:pPr>
    <w:rPr/>
  </w:style>
  <w:style w:type="paragraph" w:styleId="Style13">
    <w:name w:val="日期"/>
    <w:basedOn w:val="Normal"/>
    <w:next w:val="Normal"/>
    <w:qFormat/>
    <w:pPr>
      <w:ind w:start="100" w:hanging="0"/>
    </w:pPr>
    <w:rPr/>
  </w:style>
  <w:style w:type="paragraph" w:styleId="Contents2">
    <w:name w:val="TOC 2"/>
    <w:basedOn w:val="Normal"/>
    <w:next w:val="Normal"/>
    <w:pPr>
      <w:tabs>
        <w:tab w:val="clear" w:pos="420"/>
        <w:tab w:val="right" w:pos="9402" w:leader="dot"/>
      </w:tabs>
      <w:spacing w:lineRule="auto" w:line="360"/>
    </w:pPr>
    <w:rPr>
      <w:sz w:val="28"/>
      <w:szCs w:val="28"/>
      <w:lang w:val="en-US" w:eastAsia="en-US"/>
    </w:rPr>
  </w:style>
  <w:style w:type="paragraph" w:styleId="31">
    <w:name w:val="样式 段前: 3 磅"/>
    <w:basedOn w:val="Normal"/>
    <w:qFormat/>
    <w:pPr>
      <w:spacing w:lineRule="auto" w:line="360" w:before="60" w:after="0"/>
      <w:ind w:firstLine="200"/>
    </w:pPr>
    <w:rPr>
      <w:rFonts w:cs="宋体;SimSun"/>
      <w:sz w:val="24"/>
      <w:szCs w:val="20"/>
    </w:rPr>
  </w:style>
  <w:style w:type="paragraph" w:styleId="32">
    <w:name w:val="样式 样式 段前: 3 磅 + 首行缩进:  2 字符"/>
    <w:basedOn w:val="31"/>
    <w:qFormat/>
    <w:pPr>
      <w:ind w:firstLine="480"/>
    </w:pPr>
    <w:rPr/>
  </w:style>
  <w:style w:type="paragraph" w:styleId="20505">
    <w:name w:val="样式 标题 2 + 段前: 0.5 行 段后: 0.5 行"/>
    <w:basedOn w:val="Heading2"/>
    <w:qFormat/>
    <w:pPr>
      <w:numPr>
        <w:ilvl w:val="0"/>
        <w:numId w:val="0"/>
      </w:numPr>
    </w:pPr>
    <w:rPr>
      <w:rFonts w:cs="宋体;SimSun"/>
      <w:sz w:val="30"/>
      <w:szCs w:val="20"/>
    </w:rPr>
  </w:style>
  <w:style w:type="paragraph" w:styleId="TextBodyIndent">
    <w:name w:val="Body Text Indent"/>
    <w:basedOn w:val="Normal"/>
    <w:pPr>
      <w:ind w:firstLine="560"/>
    </w:pPr>
    <w:rPr>
      <w:rFonts w:ascii="宋体;SimSun" w:hAnsi="宋体;SimSun"/>
      <w:sz w:val="28"/>
    </w:rPr>
  </w:style>
  <w:style w:type="paragraph" w:styleId="2">
    <w:name w:val="正文文本缩进 2"/>
    <w:basedOn w:val="Normal"/>
    <w:qFormat/>
    <w:pPr>
      <w:spacing w:lineRule="auto" w:line="480" w:before="0" w:after="120"/>
      <w:ind w:start="420" w:hanging="0"/>
    </w:pPr>
    <w:rPr/>
  </w:style>
  <w:style w:type="paragraph" w:styleId="Style14">
    <w:name w:val="批注文字"/>
    <w:basedOn w:val="Normal"/>
    <w:qFormat/>
    <w:pPr>
      <w:jc w:val="start"/>
    </w:pPr>
    <w:rPr/>
  </w:style>
  <w:style w:type="paragraph" w:styleId="Contents1">
    <w:name w:val="TOC 1"/>
    <w:basedOn w:val="Normal"/>
    <w:next w:val="Normal"/>
    <w:pPr>
      <w:tabs>
        <w:tab w:val="clear" w:pos="420"/>
        <w:tab w:val="right" w:pos="9402" w:leader="dot"/>
      </w:tabs>
    </w:pPr>
    <w:rPr>
      <w:sz w:val="28"/>
      <w:szCs w:val="28"/>
      <w:lang w:val="en-US" w:eastAsia="en-US"/>
    </w:rPr>
  </w:style>
  <w:style w:type="paragraph" w:styleId="Contents3">
    <w:name w:val="TOC 3"/>
    <w:basedOn w:val="Normal"/>
    <w:next w:val="Normal"/>
    <w:pPr>
      <w:tabs>
        <w:tab w:val="clear" w:pos="420"/>
        <w:tab w:val="right" w:pos="9402" w:leader="dot"/>
      </w:tabs>
      <w:spacing w:lineRule="auto" w:line="360"/>
      <w:ind w:start="359" w:hanging="0"/>
    </w:pPr>
    <w:rPr>
      <w:sz w:val="24"/>
      <w:lang w:val="en-US" w:eastAsia="en-US"/>
    </w:rPr>
  </w:style>
  <w:style w:type="paragraph" w:styleId="205050505">
    <w:name w:val="样式 样式 标题 2 + 段前: 0.5 行 段后: 0.5 行 + 段前: 0.5 行 段后: 0.5 行"/>
    <w:basedOn w:val="20505"/>
    <w:qFormat/>
    <w:pPr>
      <w:spacing w:before="200" w:after="200"/>
    </w:pPr>
    <w:rPr/>
  </w:style>
  <w:style w:type="paragraph" w:styleId="Style15">
    <w:name w:val="普通(网站)"/>
    <w:basedOn w:val="Normal"/>
    <w:qFormat/>
    <w:pPr>
      <w:widowControl/>
      <w:spacing w:lineRule="auto" w:line="360" w:before="280" w:after="280"/>
      <w:jc w:val="start"/>
    </w:pPr>
    <w:rPr>
      <w:rFonts w:ascii="宋体;SimSun" w:hAnsi="宋体;SimSun" w:cs="宋体;SimSun"/>
      <w:kern w:val="0"/>
      <w:szCs w:val="21"/>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6">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表格模板</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2011-09-11T09:51:00Z</dcterms:created>
  <dc:creator/>
  <dc:description/>
  <cp:keywords> </cp:keywords>
  <dc:language>en-US</dc:language>
  <cp:lastModifiedBy>Administrator</cp:lastModifiedBy>
  <dcterms:modified xsi:type="dcterms:W3CDTF">2012-01-02T16:44:00Z</dcterms:modified>
  <cp:revision>2</cp:revision>
  <dc:subject/>
  <dc:title>标准编号：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